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6D0BD" w14:textId="77777777" w:rsidR="00D77832" w:rsidRPr="00B02413" w:rsidRDefault="00C868F4">
      <w:pPr>
        <w:pStyle w:val="Title"/>
        <w:rPr>
          <w:b/>
          <w:bCs/>
          <w:sz w:val="40"/>
          <w:szCs w:val="40"/>
        </w:rPr>
      </w:pPr>
      <w:r w:rsidRPr="00B02413">
        <w:rPr>
          <w:b/>
          <w:bCs/>
          <w:sz w:val="40"/>
          <w:szCs w:val="40"/>
        </w:rPr>
        <w:t xml:space="preserve">How a </w:t>
      </w:r>
      <w:r w:rsidRPr="00151314">
        <w:rPr>
          <w:b/>
          <w:bCs/>
          <w:color w:val="C00000"/>
          <w:sz w:val="40"/>
          <w:szCs w:val="40"/>
        </w:rPr>
        <w:t xml:space="preserve">Wellness Recovery Action Plan (WRAP) </w:t>
      </w:r>
      <w:r w:rsidRPr="00B02413">
        <w:rPr>
          <w:b/>
          <w:bCs/>
          <w:sz w:val="40"/>
          <w:szCs w:val="40"/>
        </w:rPr>
        <w:t xml:space="preserve">Can Benefit an </w:t>
      </w:r>
      <w:r w:rsidRPr="00151314">
        <w:rPr>
          <w:b/>
          <w:bCs/>
          <w:color w:val="C00000"/>
          <w:sz w:val="40"/>
          <w:szCs w:val="40"/>
        </w:rPr>
        <w:t>Individual Practicing the Second Step</w:t>
      </w:r>
    </w:p>
    <w:p w14:paraId="568239E5" w14:textId="77777777" w:rsidR="00C868F4" w:rsidRPr="007F6A23" w:rsidRDefault="00C868F4">
      <w:pPr>
        <w:pStyle w:val="Subtitle"/>
        <w:rPr>
          <w:b/>
          <w:bCs/>
          <w:color w:val="002060"/>
        </w:rPr>
      </w:pPr>
      <w:r w:rsidRPr="007F6A23">
        <w:rPr>
          <w:b/>
          <w:bCs/>
          <w:color w:val="002060"/>
        </w:rPr>
        <w:t>A practical guide to combining personal wellness planning with hope, openness, and support</w:t>
      </w:r>
    </w:p>
    <w:p w14:paraId="387040C4" w14:textId="77777777" w:rsidR="00C868F4" w:rsidRDefault="00C868F4" w:rsidP="007F6A23">
      <w:pPr>
        <w:jc w:val="both"/>
      </w:pPr>
      <w:r>
        <w:t xml:space="preserve">Recovery often asks a person to hold two ideas at once: that some struggles cannot be managed by willpower alone, and that meaningful action is still possible. The Second Step—commonly expressed as </w:t>
      </w:r>
      <w:r w:rsidRPr="009C5607">
        <w:rPr>
          <w:b/>
          <w:bCs/>
          <w:color w:val="C00000"/>
        </w:rPr>
        <w:t>coming to believe that a power greater than oneself can restore a person to sanity</w:t>
      </w:r>
      <w:r>
        <w:t>—opens the door to hope and help beyond isolated self-reliance. A Wellness Recovery Action Plan (WRAP) complements this step by turning hope into a personalized, practical plan for daily wellness, early intervention, and support during difficult periods.</w:t>
      </w:r>
    </w:p>
    <w:p w14:paraId="2E7D4EE4" w14:textId="77777777" w:rsidR="00C868F4" w:rsidRPr="00BC315E" w:rsidRDefault="00C868F4">
      <w:pPr>
        <w:pStyle w:val="Heading1"/>
        <w:rPr>
          <w:rFonts w:asciiTheme="minorHAnsi" w:hAnsiTheme="minorHAnsi" w:cstheme="minorBidi"/>
          <w:b/>
          <w:bCs/>
        </w:rPr>
      </w:pPr>
      <w:r w:rsidRPr="00BC315E">
        <w:rPr>
          <w:rFonts w:asciiTheme="minorHAnsi" w:hAnsiTheme="minorHAnsi" w:cstheme="minorBidi"/>
          <w:b/>
          <w:bCs/>
        </w:rPr>
        <w:t>Understanding WRAP</w:t>
      </w:r>
    </w:p>
    <w:p w14:paraId="0CE85D0E" w14:textId="44A5914E" w:rsidR="00C868F4" w:rsidRDefault="00C868F4" w:rsidP="00654E79">
      <w:pPr>
        <w:jc w:val="both"/>
      </w:pPr>
      <w:r>
        <w:t xml:space="preserve">WRAP is a self-directed wellness and recovery process. It helps an individual identify what supports well-being, </w:t>
      </w:r>
      <w:proofErr w:type="gramStart"/>
      <w:r>
        <w:t>recognize</w:t>
      </w:r>
      <w:proofErr w:type="gramEnd"/>
      <w:r>
        <w:t xml:space="preserve"> signs that additional help may be needed, and </w:t>
      </w:r>
      <w:proofErr w:type="gramStart"/>
      <w:r>
        <w:t>decide</w:t>
      </w:r>
      <w:proofErr w:type="gramEnd"/>
      <w:r>
        <w:t xml:space="preserve"> in advance what actions to take. </w:t>
      </w:r>
      <w:proofErr w:type="gramStart"/>
      <w:r>
        <w:t>A WRAP</w:t>
      </w:r>
      <w:proofErr w:type="gramEnd"/>
      <w:r>
        <w:t xml:space="preserve"> commonly includes a wellness toolbox, a daily maintenance plan, triggers and action plans, early warning signs, signs that things are breaking down, a crisis plan, and a post-crisis plan. (Wellness Recovery Action Plan, n.d.)</w:t>
      </w:r>
    </w:p>
    <w:p w14:paraId="18F270F2" w14:textId="77777777" w:rsidR="00C868F4" w:rsidRPr="00BC315E" w:rsidRDefault="00C868F4">
      <w:pPr>
        <w:pStyle w:val="Heading1"/>
        <w:rPr>
          <w:rFonts w:asciiTheme="minorHAnsi" w:hAnsiTheme="minorHAnsi" w:cstheme="minorBidi"/>
          <w:b/>
          <w:bCs/>
        </w:rPr>
      </w:pPr>
      <w:r w:rsidRPr="00BC315E">
        <w:rPr>
          <w:rFonts w:asciiTheme="minorHAnsi" w:hAnsiTheme="minorHAnsi" w:cstheme="minorBidi"/>
          <w:b/>
          <w:bCs/>
        </w:rPr>
        <w:t>Understanding the Second Step</w:t>
      </w:r>
    </w:p>
    <w:p w14:paraId="652600DB" w14:textId="1EC430BC" w:rsidR="00C868F4" w:rsidRDefault="00C868F4" w:rsidP="00BC315E">
      <w:pPr>
        <w:jc w:val="both"/>
      </w:pPr>
      <w:r>
        <w:t>The Second Step encourages willingness to consider that recovery can be supported by something beyond one’s current thinking or individual effort. (Alcoholics Anonymous World Services, n.d.) Depending on personal beliefs, a “power greater than oneself” may mean God, a recovery fellowship, shared wisdom, nature, community, spiritual principles, or the steady support of trusted people. The emphasis is not on having perfect faith; it is on becoming open to help, hope, and a healthier way of living.</w:t>
      </w:r>
    </w:p>
    <w:p w14:paraId="5CA26E10" w14:textId="77777777" w:rsidR="00C868F4" w:rsidRPr="0088788B" w:rsidRDefault="00C868F4">
      <w:pPr>
        <w:pStyle w:val="Heading1"/>
        <w:rPr>
          <w:rFonts w:asciiTheme="minorHAnsi" w:hAnsiTheme="minorHAnsi" w:cstheme="minorBidi"/>
          <w:b/>
          <w:bCs/>
        </w:rPr>
      </w:pPr>
      <w:r w:rsidRPr="0088788B">
        <w:rPr>
          <w:rFonts w:asciiTheme="minorHAnsi" w:hAnsiTheme="minorHAnsi" w:cstheme="minorBidi"/>
          <w:b/>
          <w:bCs/>
        </w:rPr>
        <w:t>How WRAP Supports the Second Step</w:t>
      </w:r>
    </w:p>
    <w:p w14:paraId="256A2D07" w14:textId="77777777" w:rsidR="007045C3" w:rsidRDefault="00361FD7" w:rsidP="00361FD7">
      <w:pPr>
        <w:pStyle w:val="ListParagraph"/>
        <w:numPr>
          <w:ilvl w:val="0"/>
          <w:numId w:val="1"/>
        </w:numPr>
      </w:pPr>
      <w:r>
        <w:rPr>
          <w:b/>
          <w:bCs/>
        </w:rPr>
        <w:t>Turns hope into action.</w:t>
      </w:r>
      <w:r>
        <w:t xml:space="preserve"> The Second Step introduces the possibility of restoration; WRAP identifies concrete actions that can support that restoration today (National Council on Aging, 2023).</w:t>
      </w:r>
    </w:p>
    <w:p w14:paraId="0E035B32" w14:textId="77777777" w:rsidR="00C868F4" w:rsidRDefault="00C868F4" w:rsidP="00C868F4">
      <w:pPr>
        <w:pStyle w:val="ListParagraph"/>
        <w:numPr>
          <w:ilvl w:val="0"/>
          <w:numId w:val="1"/>
        </w:numPr>
      </w:pPr>
      <w:r>
        <w:rPr>
          <w:b/>
          <w:bCs/>
        </w:rPr>
        <w:t>Reduces isolation.</w:t>
      </w:r>
      <w:r>
        <w:t xml:space="preserve"> A crisis plan and support list help the individual name people, groups, and services to contact rather than facing distress alone.</w:t>
      </w:r>
    </w:p>
    <w:p w14:paraId="31CE4BA8" w14:textId="77777777" w:rsidR="00C868F4" w:rsidRDefault="00C868F4" w:rsidP="00C868F4">
      <w:pPr>
        <w:pStyle w:val="ListParagraph"/>
        <w:numPr>
          <w:ilvl w:val="0"/>
          <w:numId w:val="1"/>
        </w:numPr>
      </w:pPr>
      <w:r>
        <w:rPr>
          <w:b/>
          <w:bCs/>
        </w:rPr>
        <w:lastRenderedPageBreak/>
        <w:t>Builds awareness without self-blame.</w:t>
      </w:r>
      <w:r>
        <w:t xml:space="preserve"> Tracking triggers and early warning signs helps a </w:t>
      </w:r>
      <w:proofErr w:type="gramStart"/>
      <w:r>
        <w:t>person view changes</w:t>
      </w:r>
      <w:proofErr w:type="gramEnd"/>
      <w:r>
        <w:t xml:space="preserve"> in wellness as signals for care, not proof of personal failure.</w:t>
      </w:r>
    </w:p>
    <w:p w14:paraId="5239323D" w14:textId="77777777" w:rsidR="00C868F4" w:rsidRDefault="00C868F4" w:rsidP="00C868F4">
      <w:pPr>
        <w:pStyle w:val="ListParagraph"/>
        <w:numPr>
          <w:ilvl w:val="0"/>
          <w:numId w:val="1"/>
        </w:numPr>
      </w:pPr>
      <w:r>
        <w:rPr>
          <w:b/>
          <w:bCs/>
        </w:rPr>
        <w:t>Strengthens trust.</w:t>
      </w:r>
      <w:r>
        <w:t xml:space="preserve"> Repeatedly using helpful tools—and noticing that support works—can make belief in recovery more realistic and grounded.</w:t>
      </w:r>
    </w:p>
    <w:p w14:paraId="77492F90" w14:textId="77777777" w:rsidR="00C868F4" w:rsidRDefault="00C868F4" w:rsidP="00C868F4">
      <w:pPr>
        <w:pStyle w:val="ListParagraph"/>
        <w:numPr>
          <w:ilvl w:val="0"/>
          <w:numId w:val="1"/>
        </w:numPr>
      </w:pPr>
      <w:r>
        <w:rPr>
          <w:b/>
          <w:bCs/>
        </w:rPr>
        <w:t>Encourages humility and choice.</w:t>
      </w:r>
      <w:r>
        <w:t xml:space="preserve"> WRAP acknowledges that no single person </w:t>
      </w:r>
      <w:proofErr w:type="gramStart"/>
      <w:r>
        <w:t>has to</w:t>
      </w:r>
      <w:proofErr w:type="gramEnd"/>
      <w:r>
        <w:t xml:space="preserve"> know or control everything while preserving the individual’s voice in decisions about care.</w:t>
      </w:r>
    </w:p>
    <w:p w14:paraId="4DB2AC9C" w14:textId="77777777" w:rsidR="00C868F4" w:rsidRDefault="00C868F4" w:rsidP="00C868F4">
      <w:pPr>
        <w:pStyle w:val="ListParagraph"/>
        <w:numPr>
          <w:ilvl w:val="0"/>
          <w:numId w:val="1"/>
        </w:numPr>
      </w:pPr>
      <w:r>
        <w:rPr>
          <w:b/>
          <w:bCs/>
        </w:rPr>
        <w:t>Creates stability during uncertainty.</w:t>
      </w:r>
      <w:r>
        <w:t xml:space="preserve"> Written plans provide direction when fear, cravings, confusion, or emotional distress make clear thinking difficult.</w:t>
      </w:r>
    </w:p>
    <w:p w14:paraId="5A94BBE8" w14:textId="77777777" w:rsidR="00C868F4" w:rsidRDefault="00C868F4" w:rsidP="00C868F4">
      <w:pPr>
        <w:pStyle w:val="ListParagraph"/>
        <w:numPr>
          <w:ilvl w:val="0"/>
          <w:numId w:val="1"/>
        </w:numPr>
      </w:pPr>
      <w:r>
        <w:rPr>
          <w:b/>
          <w:bCs/>
        </w:rPr>
        <w:t>Supports spiritual practice.</w:t>
      </w:r>
      <w:r>
        <w:t xml:space="preserve"> Meditation, prayer, gratitude, time in nature, meetings, service, or reflection can be included in the wellness toolbox when they fit the individual’s beliefs.</w:t>
      </w:r>
    </w:p>
    <w:p w14:paraId="525CDCCB" w14:textId="77777777" w:rsidR="00C868F4" w:rsidRPr="00B02413" w:rsidRDefault="00C868F4">
      <w:pPr>
        <w:pStyle w:val="Heading1"/>
        <w:rPr>
          <w:rFonts w:asciiTheme="minorHAnsi" w:hAnsiTheme="minorHAnsi" w:cstheme="minorBidi"/>
          <w:b/>
          <w:bCs/>
          <w:sz w:val="36"/>
          <w:szCs w:val="36"/>
        </w:rPr>
      </w:pPr>
      <w:r w:rsidRPr="00B02413">
        <w:rPr>
          <w:rFonts w:asciiTheme="minorHAnsi" w:hAnsiTheme="minorHAnsi" w:cstheme="minorBidi"/>
          <w:b/>
          <w:bCs/>
          <w:sz w:val="36"/>
          <w:szCs w:val="36"/>
        </w:rPr>
        <w:t>A Practical Way to Use WRAP While Practicing Step Two</w:t>
      </w:r>
    </w:p>
    <w:p w14:paraId="3396D108" w14:textId="77777777" w:rsidR="00C868F4" w:rsidRDefault="00C868F4" w:rsidP="00C868F4">
      <w:pPr>
        <w:pStyle w:val="ListParagraph"/>
        <w:numPr>
          <w:ilvl w:val="0"/>
          <w:numId w:val="2"/>
        </w:numPr>
      </w:pPr>
      <w:r w:rsidRPr="00C868F4">
        <w:rPr>
          <w:b/>
          <w:bCs/>
        </w:rPr>
        <w:t>Define restoration personally.</w:t>
      </w:r>
      <w:r>
        <w:t xml:space="preserve"> Write a short description of what “being restored” would look like in daily life—for example, sleeping regularly, responding rather than reacting, attending meetings, or asking for help.</w:t>
      </w:r>
    </w:p>
    <w:p w14:paraId="3BDDEB96" w14:textId="77777777" w:rsidR="00C868F4" w:rsidRDefault="00C868F4" w:rsidP="00C868F4">
      <w:pPr>
        <w:pStyle w:val="ListParagraph"/>
        <w:numPr>
          <w:ilvl w:val="0"/>
          <w:numId w:val="2"/>
        </w:numPr>
      </w:pPr>
      <w:r>
        <w:rPr>
          <w:b/>
          <w:bCs/>
        </w:rPr>
        <w:t>Build a wellness toolbox.</w:t>
      </w:r>
      <w:r>
        <w:t xml:space="preserve"> List accessible practices, people, places, beliefs, and activities that help restore balance.</w:t>
      </w:r>
    </w:p>
    <w:p w14:paraId="4BA39E80" w14:textId="77777777" w:rsidR="00C868F4" w:rsidRDefault="00C868F4" w:rsidP="00C868F4">
      <w:pPr>
        <w:pStyle w:val="ListParagraph"/>
        <w:numPr>
          <w:ilvl w:val="0"/>
          <w:numId w:val="2"/>
        </w:numPr>
      </w:pPr>
      <w:r>
        <w:rPr>
          <w:b/>
          <w:bCs/>
        </w:rPr>
        <w:t>Create a daily maintenance plan.</w:t>
      </w:r>
      <w:r>
        <w:t xml:space="preserve"> Identify what needs to happen each day to support wellness, including recovery practices such as meetings, readings, prayer, meditation, or contact with a sponsor or trusted supporter.</w:t>
      </w:r>
    </w:p>
    <w:p w14:paraId="5F047980" w14:textId="77777777" w:rsidR="00C868F4" w:rsidRDefault="00C868F4" w:rsidP="00C868F4">
      <w:pPr>
        <w:pStyle w:val="ListParagraph"/>
        <w:numPr>
          <w:ilvl w:val="0"/>
          <w:numId w:val="2"/>
        </w:numPr>
      </w:pPr>
      <w:r>
        <w:rPr>
          <w:b/>
          <w:bCs/>
        </w:rPr>
        <w:t>Name triggers and early warning signs.</w:t>
      </w:r>
      <w:r>
        <w:t xml:space="preserve"> Record situations and internal changes that may weaken hope or sound judgment, then pair each one with a specific response.</w:t>
      </w:r>
    </w:p>
    <w:p w14:paraId="49B61E02" w14:textId="77777777" w:rsidR="00C868F4" w:rsidRDefault="00C868F4" w:rsidP="00C868F4">
      <w:pPr>
        <w:pStyle w:val="ListParagraph"/>
        <w:numPr>
          <w:ilvl w:val="0"/>
          <w:numId w:val="2"/>
        </w:numPr>
      </w:pPr>
      <w:r>
        <w:rPr>
          <w:b/>
          <w:bCs/>
        </w:rPr>
        <w:t>Plan for harder moments.</w:t>
      </w:r>
      <w:r>
        <w:t xml:space="preserve"> Decide who can help, what kind of help is useful, what is not helpful, and what steps should be taken if the individual cannot advocate effectively.</w:t>
      </w:r>
    </w:p>
    <w:p w14:paraId="6AAA0BE4" w14:textId="77777777" w:rsidR="00C868F4" w:rsidRDefault="00C868F4" w:rsidP="00C868F4">
      <w:pPr>
        <w:pStyle w:val="ListParagraph"/>
        <w:numPr>
          <w:ilvl w:val="0"/>
          <w:numId w:val="2"/>
        </w:numPr>
      </w:pPr>
      <w:r>
        <w:rPr>
          <w:b/>
          <w:bCs/>
        </w:rPr>
        <w:t>Review the evidence of progress.</w:t>
      </w:r>
      <w:r>
        <w:t xml:space="preserve"> Notice moments when support, community, spiritual practice, or healthy routines helped. These experiences can strengthen confidence in the Second Step over time.</w:t>
      </w:r>
    </w:p>
    <w:p w14:paraId="3C77E1BD" w14:textId="77777777" w:rsidR="00B02413" w:rsidRDefault="00B02413">
      <w:pPr>
        <w:rPr>
          <w:rFonts w:eastAsiaTheme="majorEastAsia"/>
          <w:color w:val="0F4761" w:themeColor="accent1" w:themeShade="BF"/>
          <w:sz w:val="40"/>
          <w:szCs w:val="40"/>
        </w:rPr>
      </w:pPr>
      <w:r>
        <w:br w:type="page"/>
      </w:r>
    </w:p>
    <w:p w14:paraId="4AF6988C" w14:textId="710DE0D9" w:rsidR="00C868F4" w:rsidRDefault="00C868F4">
      <w:pPr>
        <w:pStyle w:val="Heading1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>Examples of Alignment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173"/>
        <w:gridCol w:w="3146"/>
        <w:gridCol w:w="4031"/>
      </w:tblGrid>
      <w:tr w:rsidR="00C868F4" w14:paraId="162D335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8E4456" w14:textId="77777777" w:rsidR="00C868F4" w:rsidRDefault="00C868F4">
            <w:pPr>
              <w:spacing w:after="160"/>
            </w:pPr>
            <w:r>
              <w:t>WRAP Element</w:t>
            </w:r>
          </w:p>
        </w:tc>
        <w:tc>
          <w:tcPr>
            <w:tcW w:w="0" w:type="auto"/>
            <w:hideMark/>
          </w:tcPr>
          <w:p w14:paraId="08E06A44" w14:textId="77777777" w:rsidR="00C868F4" w:rsidRDefault="00C868F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Second Step Connection</w:t>
            </w:r>
          </w:p>
        </w:tc>
        <w:tc>
          <w:tcPr>
            <w:tcW w:w="0" w:type="auto"/>
            <w:hideMark/>
          </w:tcPr>
          <w:p w14:paraId="24597012" w14:textId="77777777" w:rsidR="00C868F4" w:rsidRDefault="00C868F4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</w:t>
            </w:r>
          </w:p>
        </w:tc>
      </w:tr>
      <w:tr w:rsidR="00C868F4" w14:paraId="2127D55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16568F" w14:textId="77777777" w:rsidR="00C868F4" w:rsidRDefault="00C868F4">
            <w:pPr>
              <w:spacing w:after="160"/>
            </w:pPr>
            <w:r>
              <w:t>Wellness toolbox</w:t>
            </w:r>
          </w:p>
        </w:tc>
        <w:tc>
          <w:tcPr>
            <w:tcW w:w="0" w:type="auto"/>
            <w:hideMark/>
          </w:tcPr>
          <w:p w14:paraId="77038543" w14:textId="77777777" w:rsidR="00C868F4" w:rsidRDefault="00C868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Openness to sources of help beyond oneself</w:t>
            </w:r>
          </w:p>
        </w:tc>
        <w:tc>
          <w:tcPr>
            <w:tcW w:w="0" w:type="auto"/>
            <w:hideMark/>
          </w:tcPr>
          <w:p w14:paraId="5D1C48F5" w14:textId="77777777" w:rsidR="00C868F4" w:rsidRDefault="00C868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Calling a peer, attending a meeting, prayer, journaling, walking, or using a grounding exercise</w:t>
            </w:r>
          </w:p>
        </w:tc>
      </w:tr>
      <w:tr w:rsidR="00C868F4" w14:paraId="4AE0CF4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2F5700" w14:textId="77777777" w:rsidR="00C868F4" w:rsidRDefault="00C868F4">
            <w:pPr>
              <w:spacing w:after="160"/>
            </w:pPr>
            <w:r>
              <w:t>Daily maintenance plan</w:t>
            </w:r>
          </w:p>
        </w:tc>
        <w:tc>
          <w:tcPr>
            <w:tcW w:w="0" w:type="auto"/>
            <w:hideMark/>
          </w:tcPr>
          <w:p w14:paraId="032954EC" w14:textId="77777777" w:rsidR="00C868F4" w:rsidRDefault="00C868F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Practicing hope consistently</w:t>
            </w:r>
          </w:p>
        </w:tc>
        <w:tc>
          <w:tcPr>
            <w:tcW w:w="0" w:type="auto"/>
            <w:hideMark/>
          </w:tcPr>
          <w:p w14:paraId="63ABA4DE" w14:textId="77777777" w:rsidR="00C868F4" w:rsidRDefault="00C868F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reflection, regular meals, medication as prescribed, recovery reading, and evening check-in</w:t>
            </w:r>
          </w:p>
        </w:tc>
      </w:tr>
      <w:tr w:rsidR="00C868F4" w14:paraId="557D8D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7C1C6D" w14:textId="77777777" w:rsidR="00C868F4" w:rsidRDefault="00C868F4">
            <w:pPr>
              <w:spacing w:after="160"/>
            </w:pPr>
            <w:r>
              <w:t>Triggers and early warning signs</w:t>
            </w:r>
          </w:p>
        </w:tc>
        <w:tc>
          <w:tcPr>
            <w:tcW w:w="0" w:type="auto"/>
            <w:hideMark/>
          </w:tcPr>
          <w:p w14:paraId="0D5B4855" w14:textId="77777777" w:rsidR="00C868F4" w:rsidRDefault="00C868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Accepting that thinking and behavior can become less reliable under stress</w:t>
            </w:r>
          </w:p>
        </w:tc>
        <w:tc>
          <w:tcPr>
            <w:tcW w:w="0" w:type="auto"/>
            <w:hideMark/>
          </w:tcPr>
          <w:p w14:paraId="01F2AA57" w14:textId="77777777" w:rsidR="00C868F4" w:rsidRDefault="00C868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Responding to isolation or racing thoughts by contacting support and simplifying commitments</w:t>
            </w:r>
          </w:p>
        </w:tc>
      </w:tr>
      <w:tr w:rsidR="00C868F4" w14:paraId="19FF8B3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B1A116" w14:textId="77777777" w:rsidR="00C868F4" w:rsidRDefault="00C868F4">
            <w:pPr>
              <w:spacing w:after="160"/>
            </w:pPr>
            <w:r>
              <w:t>Crisis plan</w:t>
            </w:r>
          </w:p>
        </w:tc>
        <w:tc>
          <w:tcPr>
            <w:tcW w:w="0" w:type="auto"/>
            <w:hideMark/>
          </w:tcPr>
          <w:p w14:paraId="557D950B" w14:textId="77777777" w:rsidR="00C868F4" w:rsidRDefault="00C868F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Allowing trusted support to help when self-direction is limited</w:t>
            </w:r>
          </w:p>
        </w:tc>
        <w:tc>
          <w:tcPr>
            <w:tcW w:w="0" w:type="auto"/>
            <w:hideMark/>
          </w:tcPr>
          <w:p w14:paraId="4DCBAED9" w14:textId="77777777" w:rsidR="00C868F4" w:rsidRDefault="00C868F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Naming preferred supporters, care options, and practical instructions in advance</w:t>
            </w:r>
          </w:p>
        </w:tc>
      </w:tr>
      <w:tr w:rsidR="00C868F4" w14:paraId="7726C2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8D2C73" w14:textId="77777777" w:rsidR="00C868F4" w:rsidRDefault="00C868F4">
            <w:pPr>
              <w:spacing w:after="160"/>
            </w:pPr>
            <w:r>
              <w:t>Post-crisis plan</w:t>
            </w:r>
          </w:p>
        </w:tc>
        <w:tc>
          <w:tcPr>
            <w:tcW w:w="0" w:type="auto"/>
            <w:hideMark/>
          </w:tcPr>
          <w:p w14:paraId="71EF25B2" w14:textId="77777777" w:rsidR="00C868F4" w:rsidRDefault="00C868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Believing that recovery can continue after a setback</w:t>
            </w:r>
          </w:p>
        </w:tc>
        <w:tc>
          <w:tcPr>
            <w:tcW w:w="0" w:type="auto"/>
            <w:hideMark/>
          </w:tcPr>
          <w:p w14:paraId="7E86097B" w14:textId="77777777" w:rsidR="00C868F4" w:rsidRDefault="00C868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Resting, reconnecting, reviewing what helped, and gradually resuming responsibilities</w:t>
            </w:r>
          </w:p>
        </w:tc>
      </w:tr>
    </w:tbl>
    <w:p w14:paraId="6D88DC3D" w14:textId="77777777" w:rsidR="00C868F4" w:rsidRDefault="00C868F4"/>
    <w:p w14:paraId="38632DE3" w14:textId="77777777" w:rsidR="00C868F4" w:rsidRDefault="00C868F4">
      <w:pPr>
        <w:pStyle w:val="Heading1"/>
        <w:rPr>
          <w:rFonts w:cstheme="minorBidi"/>
        </w:rPr>
      </w:pPr>
      <w:r>
        <w:rPr>
          <w:rFonts w:cstheme="minorBidi"/>
        </w:rPr>
        <w:t>Reflection Prompts</w:t>
      </w:r>
    </w:p>
    <w:p w14:paraId="5AC5DAA3" w14:textId="77777777" w:rsidR="00C868F4" w:rsidRDefault="00C868F4" w:rsidP="00C868F4">
      <w:pPr>
        <w:pStyle w:val="ListParagraph"/>
        <w:numPr>
          <w:ilvl w:val="0"/>
          <w:numId w:val="3"/>
        </w:numPr>
      </w:pPr>
      <w:r>
        <w:t xml:space="preserve">What does hope </w:t>
      </w:r>
      <w:proofErr w:type="gramStart"/>
      <w:r>
        <w:t>look</w:t>
      </w:r>
      <w:proofErr w:type="gramEnd"/>
      <w:r>
        <w:t xml:space="preserve"> like in my life today?</w:t>
      </w:r>
    </w:p>
    <w:p w14:paraId="73617CCC" w14:textId="77777777" w:rsidR="00C868F4" w:rsidRDefault="00C868F4" w:rsidP="00C868F4">
      <w:pPr>
        <w:pStyle w:val="ListParagraph"/>
        <w:numPr>
          <w:ilvl w:val="0"/>
          <w:numId w:val="3"/>
        </w:numPr>
      </w:pPr>
      <w:r>
        <w:t>Who or what helps me think more clearly when I feel overwhelmed?</w:t>
      </w:r>
    </w:p>
    <w:p w14:paraId="7DFD994A" w14:textId="77777777" w:rsidR="00C868F4" w:rsidRDefault="00C868F4" w:rsidP="00C868F4">
      <w:pPr>
        <w:pStyle w:val="ListParagraph"/>
        <w:numPr>
          <w:ilvl w:val="0"/>
          <w:numId w:val="3"/>
        </w:numPr>
      </w:pPr>
      <w:r>
        <w:t>Which wellness tools help me become more willing to accept support?</w:t>
      </w:r>
    </w:p>
    <w:p w14:paraId="04EE9D67" w14:textId="77777777" w:rsidR="00C868F4" w:rsidRDefault="00C868F4" w:rsidP="00C868F4">
      <w:pPr>
        <w:pStyle w:val="ListParagraph"/>
        <w:numPr>
          <w:ilvl w:val="0"/>
          <w:numId w:val="3"/>
        </w:numPr>
      </w:pPr>
      <w:r>
        <w:t>What signs tell me I am losing balance, and what action can I take early?</w:t>
      </w:r>
    </w:p>
    <w:p w14:paraId="51193316" w14:textId="77777777" w:rsidR="00C868F4" w:rsidRDefault="00C868F4" w:rsidP="00C868F4">
      <w:pPr>
        <w:pStyle w:val="ListParagraph"/>
        <w:numPr>
          <w:ilvl w:val="0"/>
          <w:numId w:val="3"/>
        </w:numPr>
      </w:pPr>
      <w:r>
        <w:t>How can I respect my own beliefs while remaining open to guidance beyond myself?</w:t>
      </w:r>
    </w:p>
    <w:p w14:paraId="4EC9B573" w14:textId="77777777" w:rsidR="00C868F4" w:rsidRDefault="00C868F4" w:rsidP="00C868F4">
      <w:pPr>
        <w:pStyle w:val="ListParagraph"/>
        <w:numPr>
          <w:ilvl w:val="0"/>
          <w:numId w:val="3"/>
        </w:numPr>
      </w:pPr>
      <w:r>
        <w:t>What recent experience suggests that recovery is possible?</w:t>
      </w:r>
    </w:p>
    <w:p w14:paraId="20DDDEF5" w14:textId="77777777" w:rsidR="00C868F4" w:rsidRDefault="00C868F4">
      <w:pPr>
        <w:pStyle w:val="Heading1"/>
        <w:rPr>
          <w:rFonts w:cstheme="minorBidi"/>
        </w:rPr>
      </w:pPr>
      <w:r>
        <w:rPr>
          <w:rFonts w:cstheme="minorBidi"/>
        </w:rPr>
        <w:t>Keeping the Plan Personal and Safe</w:t>
      </w:r>
    </w:p>
    <w:p w14:paraId="3D6DF3D5" w14:textId="77777777" w:rsidR="00C868F4" w:rsidRDefault="00C868F4" w:rsidP="004323BE">
      <w:pPr>
        <w:jc w:val="both"/>
      </w:pPr>
      <w:r>
        <w:t>Both WRAP and the Second Step are most useful when they reflect the individual’s language, values, culture, and lived experience. WRAP is not a substitute for medical or behavioral health care. A person should continue working with qualified professionals as appropriate, especially when symptoms are severe, safety is at risk, or changes to treatment are being considered.</w:t>
      </w:r>
    </w:p>
    <w:p w14:paraId="1CEC0871" w14:textId="77777777" w:rsidR="00C868F4" w:rsidRDefault="00C868F4">
      <w:pPr>
        <w:pStyle w:val="Heading1"/>
        <w:rPr>
          <w:rFonts w:cstheme="minorBidi"/>
        </w:rPr>
      </w:pPr>
      <w:r>
        <w:rPr>
          <w:rFonts w:cstheme="minorBidi"/>
        </w:rPr>
        <w:lastRenderedPageBreak/>
        <w:t>Conclusion</w:t>
      </w:r>
    </w:p>
    <w:p w14:paraId="50AA0DC3" w14:textId="77777777" w:rsidR="00C868F4" w:rsidRDefault="00C868F4" w:rsidP="00805656">
      <w:pPr>
        <w:jc w:val="both"/>
      </w:pPr>
      <w:r>
        <w:t>WRAP can make the Second Step more concrete by helping an individual identify where hope, guidance, and support appear in everyday life. The Second Step offers a foundation of possibility; WRAP provides a personalized way to respond to that possibility. Together, they can strengthen self-awareness, connection, preparedness, and confidence in an ongoing recovery process.</w:t>
      </w:r>
    </w:p>
    <w:p w14:paraId="3591860B" w14:textId="2AD01BB4" w:rsidR="00C868F4" w:rsidRDefault="00C868F4" w:rsidP="00C868F4">
      <w:pPr>
        <w:pStyle w:val="Heading1"/>
      </w:pPr>
      <w:r>
        <w:t>References</w:t>
      </w:r>
    </w:p>
    <w:p w14:paraId="47396E5B" w14:textId="7501A975" w:rsidR="00C868F4" w:rsidRPr="00C868F4" w:rsidRDefault="00C868F4" w:rsidP="00C868F4">
      <w:r w:rsidRPr="00C868F4">
        <w:t xml:space="preserve">Alcoholics Anonymous World Services. (n.d.). The Twelve Steps. </w:t>
      </w:r>
      <w:hyperlink r:id="rId7" w:history="1">
        <w:r w:rsidR="00805656" w:rsidRPr="005F7A3A">
          <w:rPr>
            <w:rStyle w:val="Hyperlink"/>
          </w:rPr>
          <w:t>https://www.aa.org/the-twelve-steps</w:t>
        </w:r>
      </w:hyperlink>
      <w:r>
        <w:t>.</w:t>
      </w:r>
      <w:r w:rsidR="00805656">
        <w:t xml:space="preserve"> </w:t>
      </w:r>
    </w:p>
    <w:p w14:paraId="6E884CC3" w14:textId="6BE31585" w:rsidR="00C868F4" w:rsidRPr="00C868F4" w:rsidRDefault="00C868F4" w:rsidP="00C868F4">
      <w:r w:rsidRPr="00C868F4">
        <w:t xml:space="preserve">National Council on Aging. (2023, November 27). Evidence-based program: Wellness Recovery Action Plan. </w:t>
      </w:r>
      <w:hyperlink r:id="rId8" w:history="1">
        <w:r w:rsidR="00805656" w:rsidRPr="005F7A3A">
          <w:rPr>
            <w:rStyle w:val="Hyperlink"/>
          </w:rPr>
          <w:t>https://www.ncoa.org/article/evidence-based-program-wellness-recovery-action-plan/</w:t>
        </w:r>
      </w:hyperlink>
      <w:r>
        <w:t>.</w:t>
      </w:r>
      <w:r w:rsidR="00805656">
        <w:t xml:space="preserve"> </w:t>
      </w:r>
    </w:p>
    <w:p w14:paraId="3B4E3648" w14:textId="0AC7CD6D" w:rsidR="00C868F4" w:rsidRPr="00C868F4" w:rsidRDefault="00C868F4" w:rsidP="00C868F4">
      <w:r w:rsidRPr="00C868F4">
        <w:t xml:space="preserve">Wellness Recovery Action Plan. (n.d.). What is WRAP? </w:t>
      </w:r>
      <w:hyperlink r:id="rId9" w:history="1">
        <w:r w:rsidR="00805656" w:rsidRPr="005F7A3A">
          <w:rPr>
            <w:rStyle w:val="Hyperlink"/>
          </w:rPr>
          <w:t>https://www.wellnessrecoveryactionplan.com/what-is-wrap/</w:t>
        </w:r>
      </w:hyperlink>
      <w:r>
        <w:t>.</w:t>
      </w:r>
      <w:r w:rsidR="00805656">
        <w:t xml:space="preserve"> </w:t>
      </w:r>
    </w:p>
    <w:p w14:paraId="00D41BB9" w14:textId="590F4EC8" w:rsidR="00D77832" w:rsidRDefault="00D77832"/>
    <w:sectPr w:rsidR="00D7783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C72E7" w14:textId="77777777" w:rsidR="000D77CB" w:rsidRDefault="000D77CB" w:rsidP="00361FD7">
      <w:pPr>
        <w:spacing w:after="0" w:line="240" w:lineRule="auto"/>
      </w:pPr>
      <w:r>
        <w:separator/>
      </w:r>
    </w:p>
  </w:endnote>
  <w:endnote w:type="continuationSeparator" w:id="0">
    <w:p w14:paraId="382DE9A1" w14:textId="77777777" w:rsidR="000D77CB" w:rsidRDefault="000D77CB" w:rsidP="00361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85AF3" w14:textId="77777777" w:rsidR="000D77CB" w:rsidRDefault="000D77CB" w:rsidP="00361FD7">
      <w:pPr>
        <w:spacing w:after="0" w:line="240" w:lineRule="auto"/>
      </w:pPr>
      <w:r>
        <w:separator/>
      </w:r>
    </w:p>
  </w:footnote>
  <w:footnote w:type="continuationSeparator" w:id="0">
    <w:p w14:paraId="741AFC77" w14:textId="77777777" w:rsidR="000D77CB" w:rsidRDefault="000D77CB" w:rsidP="00361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0484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C396DA" w14:textId="1CC0832D" w:rsidR="00361FD7" w:rsidRDefault="00361F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D24F99" w14:textId="77777777" w:rsidR="00361FD7" w:rsidRDefault="00361F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2584"/>
    <w:multiLevelType w:val="multilevel"/>
    <w:tmpl w:val="E93A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42931"/>
    <w:multiLevelType w:val="multilevel"/>
    <w:tmpl w:val="F6A6E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05508F"/>
    <w:multiLevelType w:val="multilevel"/>
    <w:tmpl w:val="75EA0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060992"/>
    <w:multiLevelType w:val="multilevel"/>
    <w:tmpl w:val="B802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1768600">
    <w:abstractNumId w:val="0"/>
  </w:num>
  <w:num w:numId="2" w16cid:durableId="877398474">
    <w:abstractNumId w:val="1"/>
  </w:num>
  <w:num w:numId="3" w16cid:durableId="195196183">
    <w:abstractNumId w:val="3"/>
  </w:num>
  <w:num w:numId="4" w16cid:durableId="154303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32"/>
    <w:rsid w:val="0008579F"/>
    <w:rsid w:val="000D77CB"/>
    <w:rsid w:val="00151314"/>
    <w:rsid w:val="00361FD7"/>
    <w:rsid w:val="004323BE"/>
    <w:rsid w:val="004401C2"/>
    <w:rsid w:val="00654E79"/>
    <w:rsid w:val="007045C3"/>
    <w:rsid w:val="007F6A23"/>
    <w:rsid w:val="00805656"/>
    <w:rsid w:val="0088788B"/>
    <w:rsid w:val="008C31BE"/>
    <w:rsid w:val="009C5607"/>
    <w:rsid w:val="00B02413"/>
    <w:rsid w:val="00BC315E"/>
    <w:rsid w:val="00C868F4"/>
    <w:rsid w:val="00D7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5FD80"/>
  <w15:chartTrackingRefBased/>
  <w15:docId w15:val="{9DA09AE2-0CC7-404F-AE14-2F6B5A18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7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832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7783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783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77832"/>
    <w:rPr>
      <w:i/>
      <w:iCs/>
    </w:rPr>
  </w:style>
  <w:style w:type="paragraph" w:styleId="NoSpacing">
    <w:name w:val="No Spacing"/>
    <w:uiPriority w:val="1"/>
    <w:qFormat/>
    <w:rsid w:val="00D7783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77832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7783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7783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7832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77832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C868F4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361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FD7"/>
  </w:style>
  <w:style w:type="paragraph" w:styleId="Footer">
    <w:name w:val="footer"/>
    <w:basedOn w:val="Normal"/>
    <w:link w:val="FooterChar"/>
    <w:uiPriority w:val="99"/>
    <w:unhideWhenUsed/>
    <w:rsid w:val="00361F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FD7"/>
  </w:style>
  <w:style w:type="character" w:styleId="Hyperlink">
    <w:name w:val="Hyperlink"/>
    <w:basedOn w:val="DefaultParagraphFont"/>
    <w:uiPriority w:val="99"/>
    <w:unhideWhenUsed/>
    <w:rsid w:val="008056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56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oa.org/article/evidence-based-program-wellness-recovery-action-pla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a.org/the-twelve-step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ellnessrecoveryactionplan.com/what-is-wra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967</Words>
  <Characters>5822</Characters>
  <Application>Microsoft Office Word</Application>
  <DocSecurity>0</DocSecurity>
  <Lines>116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WRAP of DC</dc:creator>
  <cp:keywords/>
  <dc:description/>
  <cp:lastModifiedBy>WRAP of DC</cp:lastModifiedBy>
  <cp:revision>11</cp:revision>
  <dcterms:created xsi:type="dcterms:W3CDTF">2026-09-26T15:46:00Z</dcterms:created>
  <dcterms:modified xsi:type="dcterms:W3CDTF">2026-09-27T16:53:00Z</dcterms:modified>
</cp:coreProperties>
</file>