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ED3DA" w14:textId="77777777" w:rsidR="000258D8" w:rsidRDefault="00221A3F">
      <w:pPr>
        <w:pStyle w:val="Title"/>
        <w:rPr>
          <w:b/>
          <w:bCs/>
        </w:rPr>
      </w:pPr>
      <w:r w:rsidRPr="00221A3F">
        <w:rPr>
          <w:b/>
          <w:bCs/>
        </w:rPr>
        <w:t xml:space="preserve">How a </w:t>
      </w:r>
    </w:p>
    <w:p w14:paraId="10B7D31B" w14:textId="77777777" w:rsidR="00BA3452" w:rsidRDefault="00221A3F">
      <w:pPr>
        <w:pStyle w:val="Title"/>
        <w:rPr>
          <w:b/>
          <w:bCs/>
        </w:rPr>
      </w:pPr>
      <w:r w:rsidRPr="00221A3F">
        <w:rPr>
          <w:b/>
          <w:bCs/>
          <w:color w:val="C00000"/>
        </w:rPr>
        <w:t>Wellness Recovery Action Plan (WRAP)</w:t>
      </w:r>
      <w:r w:rsidRPr="00221A3F">
        <w:rPr>
          <w:b/>
          <w:bCs/>
        </w:rPr>
        <w:t xml:space="preserve"> Can Support the Practice of the </w:t>
      </w:r>
    </w:p>
    <w:p w14:paraId="0BA34D00" w14:textId="7CA2E854" w:rsidR="00D5688A" w:rsidRPr="00221A3F" w:rsidRDefault="00221A3F">
      <w:pPr>
        <w:pStyle w:val="Title"/>
        <w:rPr>
          <w:b/>
          <w:bCs/>
          <w:color w:val="C00000"/>
        </w:rPr>
      </w:pPr>
      <w:r w:rsidRPr="00221A3F">
        <w:rPr>
          <w:b/>
          <w:bCs/>
          <w:color w:val="C00000"/>
        </w:rPr>
        <w:t>Tenth Step</w:t>
      </w:r>
    </w:p>
    <w:p w14:paraId="6C281649" w14:textId="77777777" w:rsidR="00221A3F" w:rsidRPr="00221A3F" w:rsidRDefault="00221A3F">
      <w:pPr>
        <w:pStyle w:val="Subtitle"/>
        <w:rPr>
          <w:b/>
          <w:bCs/>
          <w:color w:val="002060"/>
        </w:rPr>
      </w:pPr>
      <w:r w:rsidRPr="00221A3F">
        <w:rPr>
          <w:b/>
          <w:bCs/>
          <w:color w:val="002060"/>
        </w:rPr>
        <w:t>A practical framework for daily self-awareness, accountability, and continued recovery</w:t>
      </w:r>
    </w:p>
    <w:p w14:paraId="2F210FDE" w14:textId="58B15EAC" w:rsidR="00221A3F" w:rsidRDefault="00221A3F" w:rsidP="00221A3F">
      <w:pPr>
        <w:jc w:val="both"/>
      </w:pPr>
      <w:r>
        <w:t>Wellness Recovery Action Plan (WRAP) is a self-directed approach that helps a person identify what supports wellness, recognize signs of difficulty, and choose effective responses. The Tenth Step—</w:t>
      </w:r>
      <w:r w:rsidRPr="00221A3F">
        <w:rPr>
          <w:b/>
          <w:bCs/>
          <w:color w:val="C00000"/>
        </w:rPr>
        <w:t>continuing to take personal inventory and promptly admitting when one is wrong</w:t>
      </w:r>
      <w:r>
        <w:t>—also depends on regular awareness and timely action. Used together, these practices can turn daily reflection into a balanced routine that supports honesty, responsibility, and self-care. (Advocates for Human Potential, Inc., n.d.; Copeland, 2015).</w:t>
      </w:r>
    </w:p>
    <w:p w14:paraId="0DEC651C" w14:textId="77777777" w:rsidR="00221A3F" w:rsidRPr="00221A3F" w:rsidRDefault="00221A3F">
      <w:pPr>
        <w:pStyle w:val="Heading1"/>
        <w:rPr>
          <w:rFonts w:asciiTheme="minorHAnsi" w:hAnsiTheme="minorHAnsi" w:cstheme="minorBidi"/>
          <w:b/>
          <w:bCs/>
        </w:rPr>
      </w:pPr>
      <w:r w:rsidRPr="00221A3F">
        <w:rPr>
          <w:rFonts w:asciiTheme="minorHAnsi" w:hAnsiTheme="minorHAnsi" w:cstheme="minorBidi"/>
          <w:b/>
          <w:bCs/>
        </w:rPr>
        <w:t>Understanding the Two Practices</w:t>
      </w:r>
    </w:p>
    <w:p w14:paraId="4F81F337" w14:textId="77777777" w:rsidR="00221A3F" w:rsidRDefault="00221A3F">
      <w:pPr>
        <w:pStyle w:val="Heading2"/>
        <w:rPr>
          <w:rFonts w:asciiTheme="minorHAnsi" w:hAnsiTheme="minorHAnsi" w:cstheme="minorBidi"/>
        </w:rPr>
      </w:pPr>
      <w:r>
        <w:rPr>
          <w:rFonts w:asciiTheme="minorHAnsi" w:hAnsiTheme="minorHAnsi" w:cstheme="minorBidi"/>
        </w:rPr>
        <w:t>Wellness Recovery Action Plan (WRAP)</w:t>
      </w:r>
    </w:p>
    <w:p w14:paraId="0ECB0139" w14:textId="2789C38E" w:rsidR="00221A3F" w:rsidRDefault="00221A3F" w:rsidP="00221A3F">
      <w:pPr>
        <w:jc w:val="both"/>
      </w:pPr>
      <w:r>
        <w:t>A WRAP is built around personal experience: what a person is like when well, helpful wellness tools, common triggers, early warning signs, signs that circumstances are worsening, and plans for responding. It may also include crisis and post-crisis planning. The emphasis is not on judging oneself, but on noticing patterns and choosing supports before problems become harder to manage. (Copeland, 2015).</w:t>
      </w:r>
    </w:p>
    <w:p w14:paraId="3F8F3C5B" w14:textId="77777777" w:rsidR="00221A3F" w:rsidRPr="00221A3F" w:rsidRDefault="00221A3F">
      <w:pPr>
        <w:pStyle w:val="Heading2"/>
        <w:rPr>
          <w:rFonts w:asciiTheme="minorHAnsi" w:hAnsiTheme="minorHAnsi" w:cstheme="minorBidi"/>
        </w:rPr>
      </w:pPr>
      <w:r w:rsidRPr="00221A3F">
        <w:rPr>
          <w:rFonts w:asciiTheme="minorHAnsi" w:hAnsiTheme="minorHAnsi" w:cstheme="minorBidi"/>
        </w:rPr>
        <w:t>The Tenth Step</w:t>
      </w:r>
    </w:p>
    <w:p w14:paraId="023FC881" w14:textId="6B1FD49B" w:rsidR="00221A3F" w:rsidRDefault="00221A3F" w:rsidP="00221A3F">
      <w:pPr>
        <w:jc w:val="both"/>
      </w:pPr>
      <w:r>
        <w:t>The Tenth Step encourages an ongoing personal inventory rather than waiting for problems to accumulate. A person reviews thoughts, feelings, motives, and behavior; acknowledges mistakes; makes appropriate corrections; and notices what went well. The practice is intended to support spiritual and personal growth, not perfectionism or harsh self-criticism. (Alcoholics Anonymous World Services, Inc., 1952, pp. 88–95).</w:t>
      </w:r>
    </w:p>
    <w:p w14:paraId="3A97756D" w14:textId="77777777" w:rsidR="00221A3F" w:rsidRPr="00221A3F" w:rsidRDefault="00221A3F">
      <w:pPr>
        <w:pStyle w:val="Heading1"/>
        <w:rPr>
          <w:rFonts w:asciiTheme="minorHAnsi" w:hAnsiTheme="minorHAnsi" w:cstheme="minorBidi"/>
          <w:b/>
          <w:bCs/>
        </w:rPr>
      </w:pPr>
      <w:r w:rsidRPr="00221A3F">
        <w:rPr>
          <w:rFonts w:asciiTheme="minorHAnsi" w:hAnsiTheme="minorHAnsi" w:cstheme="minorBidi"/>
          <w:b/>
          <w:bCs/>
        </w:rPr>
        <w:lastRenderedPageBreak/>
        <w:t>How WRAP Strengthens Tenth Step Practice</w:t>
      </w:r>
    </w:p>
    <w:p w14:paraId="7C149126" w14:textId="77777777" w:rsidR="00221A3F" w:rsidRDefault="00221A3F" w:rsidP="00221A3F">
      <w:pPr>
        <w:pStyle w:val="ListParagraph"/>
        <w:numPr>
          <w:ilvl w:val="0"/>
          <w:numId w:val="1"/>
        </w:numPr>
      </w:pPr>
      <w:r w:rsidRPr="00221A3F">
        <w:rPr>
          <w:b/>
          <w:bCs/>
        </w:rPr>
        <w:t>Creates a personal baseline.</w:t>
      </w:r>
      <w:r>
        <w:t xml:space="preserve"> A “wellness” description helps the individual compare today’s condition with how they usually think, feel, and act when doing well.</w:t>
      </w:r>
    </w:p>
    <w:p w14:paraId="3C114A07" w14:textId="77777777" w:rsidR="00221A3F" w:rsidRDefault="00221A3F" w:rsidP="00221A3F">
      <w:pPr>
        <w:pStyle w:val="ListParagraph"/>
        <w:numPr>
          <w:ilvl w:val="0"/>
          <w:numId w:val="1"/>
        </w:numPr>
      </w:pPr>
      <w:r>
        <w:rPr>
          <w:b/>
          <w:bCs/>
        </w:rPr>
        <w:t>Improves pattern recognition.</w:t>
      </w:r>
      <w:r>
        <w:t xml:space="preserve"> Tracking triggers and warning signs makes it easier to see what may have contributed to impatience, fear, resentment, isolation, or impulsive behavior.</w:t>
      </w:r>
    </w:p>
    <w:p w14:paraId="7E51C5AE" w14:textId="77777777" w:rsidR="00221A3F" w:rsidRDefault="00221A3F" w:rsidP="00221A3F">
      <w:pPr>
        <w:pStyle w:val="ListParagraph"/>
        <w:numPr>
          <w:ilvl w:val="0"/>
          <w:numId w:val="1"/>
        </w:numPr>
      </w:pPr>
      <w:r>
        <w:rPr>
          <w:b/>
          <w:bCs/>
        </w:rPr>
        <w:t>Connects insight with action.</w:t>
      </w:r>
      <w:r>
        <w:t xml:space="preserve"> The Tenth Step identifies what needs attention; WRAP supplies a menu of tested wellness tools and specific responses.</w:t>
      </w:r>
    </w:p>
    <w:p w14:paraId="2219ADEE" w14:textId="77777777" w:rsidR="00221A3F" w:rsidRDefault="00221A3F" w:rsidP="00221A3F">
      <w:pPr>
        <w:pStyle w:val="ListParagraph"/>
        <w:numPr>
          <w:ilvl w:val="0"/>
          <w:numId w:val="1"/>
        </w:numPr>
      </w:pPr>
      <w:r>
        <w:rPr>
          <w:b/>
          <w:bCs/>
        </w:rPr>
        <w:t>Encourages prompt course correction.</w:t>
      </w:r>
      <w:r>
        <w:t xml:space="preserve"> Early action can prevent a minor concern from developing into a larger conflict or threat to recovery.</w:t>
      </w:r>
    </w:p>
    <w:p w14:paraId="4E3257E8" w14:textId="77777777" w:rsidR="00221A3F" w:rsidRDefault="00221A3F" w:rsidP="00221A3F">
      <w:pPr>
        <w:pStyle w:val="ListParagraph"/>
        <w:numPr>
          <w:ilvl w:val="0"/>
          <w:numId w:val="1"/>
        </w:numPr>
      </w:pPr>
      <w:r>
        <w:rPr>
          <w:b/>
          <w:bCs/>
        </w:rPr>
        <w:t>Balances accountability with compassion.</w:t>
      </w:r>
      <w:r>
        <w:t xml:space="preserve"> WRAP frames difficulty as information requiring support, while the Tenth Step preserves responsibility for one’s conduct.</w:t>
      </w:r>
    </w:p>
    <w:p w14:paraId="7C632DF4" w14:textId="77777777" w:rsidR="00221A3F" w:rsidRDefault="00221A3F" w:rsidP="00221A3F">
      <w:pPr>
        <w:pStyle w:val="ListParagraph"/>
        <w:numPr>
          <w:ilvl w:val="0"/>
          <w:numId w:val="1"/>
        </w:numPr>
      </w:pPr>
      <w:r>
        <w:rPr>
          <w:b/>
          <w:bCs/>
        </w:rPr>
        <w:t>Highlights progress as well as problems.</w:t>
      </w:r>
      <w:r>
        <w:t xml:space="preserve"> Recording strengths, gratitude, and effective choices prevents the inventory from becoming only a list of faults.</w:t>
      </w:r>
    </w:p>
    <w:p w14:paraId="03E6DF35" w14:textId="77777777" w:rsidR="00221A3F" w:rsidRDefault="00221A3F" w:rsidP="00221A3F">
      <w:pPr>
        <w:pStyle w:val="ListParagraph"/>
        <w:numPr>
          <w:ilvl w:val="0"/>
          <w:numId w:val="1"/>
        </w:numPr>
      </w:pPr>
      <w:r>
        <w:rPr>
          <w:b/>
          <w:bCs/>
        </w:rPr>
        <w:t>Clarifies when to seek help.</w:t>
      </w:r>
      <w:r>
        <w:t xml:space="preserve"> A written plan can identify trusted people, peer supports, sponsors, professionals, and other resources to contact when self-management is not enough.</w:t>
      </w:r>
    </w:p>
    <w:p w14:paraId="4D00227F" w14:textId="77777777" w:rsidR="00221A3F" w:rsidRPr="00221A3F" w:rsidRDefault="00221A3F">
      <w:pPr>
        <w:pStyle w:val="Heading1"/>
        <w:rPr>
          <w:rFonts w:asciiTheme="minorHAnsi" w:hAnsiTheme="minorHAnsi" w:cstheme="minorBidi"/>
          <w:b/>
          <w:bCs/>
        </w:rPr>
      </w:pPr>
      <w:r w:rsidRPr="00221A3F">
        <w:rPr>
          <w:rFonts w:asciiTheme="minorHAnsi" w:hAnsiTheme="minorHAnsi" w:cstheme="minorBidi"/>
          <w:b/>
          <w:bCs/>
        </w:rPr>
        <w:t>A Simple Daily WRAP–Tenth Step Routine</w:t>
      </w:r>
    </w:p>
    <w:p w14:paraId="2776809E" w14:textId="77777777" w:rsidR="00221A3F" w:rsidRDefault="00221A3F" w:rsidP="00221A3F">
      <w:pPr>
        <w:pStyle w:val="ListParagraph"/>
        <w:numPr>
          <w:ilvl w:val="0"/>
          <w:numId w:val="2"/>
        </w:numPr>
      </w:pPr>
      <w:r w:rsidRPr="00221A3F">
        <w:rPr>
          <w:b/>
          <w:bCs/>
        </w:rPr>
        <w:t>Morning check-in:</w:t>
      </w:r>
      <w:r>
        <w:t xml:space="preserve"> Review the daily maintenance list and choose the wellness tools most needed for the day.</w:t>
      </w:r>
    </w:p>
    <w:p w14:paraId="0830E633" w14:textId="77777777" w:rsidR="00221A3F" w:rsidRDefault="00221A3F" w:rsidP="00221A3F">
      <w:pPr>
        <w:pStyle w:val="ListParagraph"/>
        <w:numPr>
          <w:ilvl w:val="0"/>
          <w:numId w:val="2"/>
        </w:numPr>
      </w:pPr>
      <w:r>
        <w:rPr>
          <w:b/>
          <w:bCs/>
        </w:rPr>
        <w:t>Pause during the day:</w:t>
      </w:r>
      <w:r>
        <w:t xml:space="preserve"> When emotions or circumstances shift, ask whether a trigger or early warning sign is present.</w:t>
      </w:r>
    </w:p>
    <w:p w14:paraId="56FBD9DD" w14:textId="77777777" w:rsidR="00221A3F" w:rsidRDefault="00221A3F" w:rsidP="00221A3F">
      <w:pPr>
        <w:pStyle w:val="ListParagraph"/>
        <w:numPr>
          <w:ilvl w:val="0"/>
          <w:numId w:val="2"/>
        </w:numPr>
      </w:pPr>
      <w:r>
        <w:rPr>
          <w:b/>
          <w:bCs/>
        </w:rPr>
        <w:t>Evening inventory:</w:t>
      </w:r>
      <w:r>
        <w:t xml:space="preserve"> Review behavior, motives, emotional balance, relationships, and recovery-supporting actions.</w:t>
      </w:r>
    </w:p>
    <w:p w14:paraId="16E1DAFD" w14:textId="77777777" w:rsidR="00221A3F" w:rsidRDefault="00221A3F" w:rsidP="00221A3F">
      <w:pPr>
        <w:pStyle w:val="ListParagraph"/>
        <w:numPr>
          <w:ilvl w:val="0"/>
          <w:numId w:val="2"/>
        </w:numPr>
      </w:pPr>
      <w:r>
        <w:rPr>
          <w:b/>
          <w:bCs/>
        </w:rPr>
        <w:t>Correct promptly:</w:t>
      </w:r>
      <w:r>
        <w:t xml:space="preserve"> If harm was caused, decide on a safe, appropriate corrective action. An apology or amends should focus on responsibility and should not create additional harm.</w:t>
      </w:r>
    </w:p>
    <w:p w14:paraId="719ADE5E" w14:textId="77777777" w:rsidR="00221A3F" w:rsidRDefault="00221A3F" w:rsidP="00221A3F">
      <w:pPr>
        <w:pStyle w:val="ListParagraph"/>
        <w:numPr>
          <w:ilvl w:val="0"/>
          <w:numId w:val="2"/>
        </w:numPr>
      </w:pPr>
      <w:r>
        <w:rPr>
          <w:b/>
          <w:bCs/>
        </w:rPr>
        <w:t>Activate supports:</w:t>
      </w:r>
      <w:r>
        <w:t xml:space="preserve"> If warning signs persist, follow the relevant WRAP action plan and contact an appropriate support person.</w:t>
      </w:r>
    </w:p>
    <w:p w14:paraId="5D51C0C5" w14:textId="77777777" w:rsidR="00221A3F" w:rsidRDefault="00221A3F" w:rsidP="00221A3F">
      <w:pPr>
        <w:pStyle w:val="ListParagraph"/>
        <w:numPr>
          <w:ilvl w:val="0"/>
          <w:numId w:val="2"/>
        </w:numPr>
      </w:pPr>
      <w:r>
        <w:rPr>
          <w:b/>
          <w:bCs/>
        </w:rPr>
        <w:t>Record learning:</w:t>
      </w:r>
      <w:r>
        <w:t xml:space="preserve"> Note what helped, what did not, and whether the WRAP plan needs to be updated.</w:t>
      </w:r>
    </w:p>
    <w:p w14:paraId="767D3400" w14:textId="77777777" w:rsidR="00221A3F" w:rsidRPr="00221A3F" w:rsidRDefault="00221A3F">
      <w:pPr>
        <w:pStyle w:val="Heading1"/>
        <w:rPr>
          <w:rFonts w:asciiTheme="minorHAnsi" w:hAnsiTheme="minorHAnsi" w:cstheme="minorBidi"/>
          <w:b/>
          <w:bCs/>
        </w:rPr>
      </w:pPr>
      <w:r w:rsidRPr="00221A3F">
        <w:rPr>
          <w:rFonts w:asciiTheme="minorHAnsi" w:hAnsiTheme="minorHAnsi" w:cstheme="minorBidi"/>
          <w:b/>
          <w:bCs/>
        </w:rPr>
        <w:lastRenderedPageBreak/>
        <w:t>Daily Reflection Questions</w:t>
      </w:r>
    </w:p>
    <w:p w14:paraId="6356C455" w14:textId="77777777" w:rsidR="00221A3F" w:rsidRDefault="00221A3F" w:rsidP="00221A3F">
      <w:pPr>
        <w:pStyle w:val="ListParagraph"/>
        <w:numPr>
          <w:ilvl w:val="0"/>
          <w:numId w:val="3"/>
        </w:numPr>
      </w:pPr>
      <w:r>
        <w:t>What signs of wellness did I notice today?</w:t>
      </w:r>
    </w:p>
    <w:p w14:paraId="12B6D5CF" w14:textId="77777777" w:rsidR="00221A3F" w:rsidRDefault="00221A3F" w:rsidP="00221A3F">
      <w:pPr>
        <w:pStyle w:val="ListParagraph"/>
        <w:numPr>
          <w:ilvl w:val="0"/>
          <w:numId w:val="3"/>
        </w:numPr>
      </w:pPr>
      <w:r>
        <w:t>Were any triggers or early warning signs present?</w:t>
      </w:r>
    </w:p>
    <w:p w14:paraId="0B353361" w14:textId="77777777" w:rsidR="00221A3F" w:rsidRDefault="00221A3F" w:rsidP="00221A3F">
      <w:pPr>
        <w:pStyle w:val="ListParagraph"/>
        <w:numPr>
          <w:ilvl w:val="0"/>
          <w:numId w:val="3"/>
        </w:numPr>
      </w:pPr>
      <w:r>
        <w:t>Where was I honest, patient, useful, or willing?</w:t>
      </w:r>
    </w:p>
    <w:p w14:paraId="1300C72A" w14:textId="77777777" w:rsidR="00221A3F" w:rsidRDefault="00221A3F" w:rsidP="00221A3F">
      <w:pPr>
        <w:pStyle w:val="ListParagraph"/>
        <w:numPr>
          <w:ilvl w:val="0"/>
          <w:numId w:val="3"/>
        </w:numPr>
      </w:pPr>
      <w:r>
        <w:t>Was I resentful, fearful, selfish, or inconsiderate?</w:t>
      </w:r>
    </w:p>
    <w:p w14:paraId="1FE54F35" w14:textId="77777777" w:rsidR="00221A3F" w:rsidRDefault="00221A3F" w:rsidP="00221A3F">
      <w:pPr>
        <w:pStyle w:val="ListParagraph"/>
        <w:numPr>
          <w:ilvl w:val="0"/>
          <w:numId w:val="3"/>
        </w:numPr>
      </w:pPr>
      <w:r>
        <w:t>Do I owe anyone an apology, clarification, or other corrective action?</w:t>
      </w:r>
    </w:p>
    <w:p w14:paraId="3B1C5987" w14:textId="77777777" w:rsidR="00221A3F" w:rsidRDefault="00221A3F" w:rsidP="00221A3F">
      <w:pPr>
        <w:pStyle w:val="ListParagraph"/>
        <w:numPr>
          <w:ilvl w:val="0"/>
          <w:numId w:val="3"/>
        </w:numPr>
      </w:pPr>
      <w:r>
        <w:t>Which wellness tool would help me respond constructively?</w:t>
      </w:r>
    </w:p>
    <w:p w14:paraId="49A36F80" w14:textId="77777777" w:rsidR="00221A3F" w:rsidRDefault="00221A3F" w:rsidP="00221A3F">
      <w:pPr>
        <w:pStyle w:val="ListParagraph"/>
        <w:numPr>
          <w:ilvl w:val="0"/>
          <w:numId w:val="3"/>
        </w:numPr>
      </w:pPr>
      <w:r>
        <w:t>Who should I contact if I need perspective or support?</w:t>
      </w:r>
    </w:p>
    <w:p w14:paraId="1DF96B14" w14:textId="77777777" w:rsidR="00221A3F" w:rsidRDefault="00221A3F" w:rsidP="00221A3F">
      <w:pPr>
        <w:pStyle w:val="ListParagraph"/>
        <w:numPr>
          <w:ilvl w:val="0"/>
          <w:numId w:val="3"/>
        </w:numPr>
      </w:pPr>
      <w:r>
        <w:t>What am I grateful for, and what do I want to carry into tomorrow?</w:t>
      </w:r>
    </w:p>
    <w:p w14:paraId="17D1E59F" w14:textId="77777777" w:rsidR="00221A3F" w:rsidRPr="00221A3F" w:rsidRDefault="00221A3F">
      <w:pPr>
        <w:pStyle w:val="Heading1"/>
        <w:rPr>
          <w:rFonts w:asciiTheme="minorHAnsi" w:hAnsiTheme="minorHAnsi" w:cstheme="minorBidi"/>
          <w:b/>
          <w:bCs/>
        </w:rPr>
      </w:pPr>
      <w:r w:rsidRPr="00221A3F">
        <w:rPr>
          <w:rFonts w:asciiTheme="minorHAnsi" w:hAnsiTheme="minorHAnsi" w:cstheme="minorBidi"/>
          <w:b/>
          <w:bCs/>
        </w:rPr>
        <w:t>Example</w:t>
      </w:r>
    </w:p>
    <w:p w14:paraId="044AF69C" w14:textId="77777777" w:rsidR="00221A3F" w:rsidRDefault="00221A3F" w:rsidP="00221A3F">
      <w:pPr>
        <w:jc w:val="both"/>
      </w:pPr>
      <w:r>
        <w:t>During an evening inventory, an individual notices that poor sleep and an unexpected schedule change led to irritability and a sharp response to a family member. The Tenth Step helps the person acknowledge the behavior without excuses. The WRAP identifies poor sleep and sudden changes as triggers and recommends a quiet break, a meal, a call to a trusted support person, and an earlier bedtime. The individual apologizes appropriately, uses the selected wellness tools, and records the pattern for future planning.</w:t>
      </w:r>
    </w:p>
    <w:p w14:paraId="260F5054" w14:textId="77777777" w:rsidR="00221A3F" w:rsidRPr="00221A3F" w:rsidRDefault="00221A3F">
      <w:pPr>
        <w:pStyle w:val="Heading1"/>
        <w:rPr>
          <w:rFonts w:asciiTheme="minorHAnsi" w:hAnsiTheme="minorHAnsi" w:cstheme="minorBidi"/>
          <w:b/>
          <w:bCs/>
        </w:rPr>
      </w:pPr>
      <w:r w:rsidRPr="00221A3F">
        <w:rPr>
          <w:rFonts w:asciiTheme="minorHAnsi" w:hAnsiTheme="minorHAnsi" w:cstheme="minorBidi"/>
          <w:b/>
          <w:bCs/>
        </w:rPr>
        <w:t>Keeping the Practice Healthy</w:t>
      </w:r>
    </w:p>
    <w:p w14:paraId="68F2E2CF" w14:textId="77777777" w:rsidR="00221A3F" w:rsidRDefault="00221A3F" w:rsidP="00221A3F">
      <w:pPr>
        <w:jc w:val="both"/>
      </w:pPr>
      <w:r>
        <w:t>This combined practice should be honest, brief, and constructive. If an inventory becomes repetitive, punitive, or overwhelming, the individual can pause and consult a trusted peer, sponsor, facilitator, counselor, or health professional. WRAP and Twelve Step practices can complement care, but they do not replace medical or mental health treatment. In an urgent or dangerous situation, the person should follow the crisis plan and contact emergency or crisis services.</w:t>
      </w:r>
    </w:p>
    <w:p w14:paraId="6A51850B" w14:textId="77777777" w:rsidR="00221A3F" w:rsidRPr="00221A3F" w:rsidRDefault="00221A3F">
      <w:pPr>
        <w:pStyle w:val="Heading1"/>
        <w:rPr>
          <w:rFonts w:asciiTheme="minorHAnsi" w:hAnsiTheme="minorHAnsi" w:cstheme="minorBidi"/>
          <w:b/>
          <w:bCs/>
        </w:rPr>
      </w:pPr>
      <w:r w:rsidRPr="00221A3F">
        <w:rPr>
          <w:rFonts w:asciiTheme="minorHAnsi" w:hAnsiTheme="minorHAnsi" w:cstheme="minorBidi"/>
          <w:b/>
          <w:bCs/>
        </w:rPr>
        <w:t>Conclusion</w:t>
      </w:r>
    </w:p>
    <w:p w14:paraId="2FD2CB0A" w14:textId="77777777" w:rsidR="00221A3F" w:rsidRDefault="00221A3F" w:rsidP="00221A3F">
      <w:pPr>
        <w:jc w:val="both"/>
      </w:pPr>
      <w:r>
        <w:t>WRAP can make the Tenth Step more practical by giving daily self-examination a personal structure, recognizable warning signs, and clear follow-through actions. The Tenth Step, in turn, adds accountability and regular reflection to a wellness plan. Together they support a recovery practice that is observant, responsible, compassionate, and responsive to change.</w:t>
      </w:r>
    </w:p>
    <w:p w14:paraId="20B02BE3" w14:textId="77777777" w:rsidR="00221A3F" w:rsidRPr="00221A3F" w:rsidRDefault="00221A3F">
      <w:pPr>
        <w:pStyle w:val="Heading1"/>
        <w:rPr>
          <w:rFonts w:cstheme="minorBidi"/>
          <w:b/>
          <w:bCs/>
        </w:rPr>
      </w:pPr>
      <w:r w:rsidRPr="00221A3F">
        <w:rPr>
          <w:rFonts w:cstheme="minorBidi"/>
          <w:b/>
          <w:bCs/>
        </w:rPr>
        <w:lastRenderedPageBreak/>
        <w:t>References</w:t>
      </w:r>
    </w:p>
    <w:p w14:paraId="6C69337D" w14:textId="77777777" w:rsidR="00221A3F" w:rsidRDefault="00221A3F">
      <w:r>
        <w:t xml:space="preserve">Advocates for Human Potential, Inc. (n.d.). </w:t>
      </w:r>
      <w:r>
        <w:rPr>
          <w:i/>
          <w:iCs/>
        </w:rPr>
        <w:t>What is WRAP?</w:t>
      </w:r>
      <w:r>
        <w:t xml:space="preserve"> Wellness Recovery Action Plan. </w:t>
      </w:r>
      <w:hyperlink r:id="rId8" w:history="1">
        <w:r>
          <w:rPr>
            <w:rStyle w:val="Hyperlink"/>
          </w:rPr>
          <w:t>https://www.wellnessrecoveryactionplan.com/what-is-wrap/</w:t>
        </w:r>
      </w:hyperlink>
      <w:r>
        <w:t xml:space="preserve"> (accessed September 27, 2026).</w:t>
      </w:r>
    </w:p>
    <w:p w14:paraId="767B96A4" w14:textId="77777777" w:rsidR="00221A3F" w:rsidRDefault="00221A3F">
      <w:r>
        <w:t xml:space="preserve">Copeland, M. E. (2015, May 22). </w:t>
      </w:r>
      <w:r>
        <w:rPr>
          <w:i/>
          <w:iCs/>
        </w:rPr>
        <w:t>WRAP overview.</w:t>
      </w:r>
      <w:r>
        <w:t xml:space="preserve"> Wellness Recovery Action Plan. </w:t>
      </w:r>
      <w:hyperlink r:id="rId9" w:history="1">
        <w:r>
          <w:rPr>
            <w:rStyle w:val="Hyperlink"/>
          </w:rPr>
          <w:t>https://www.wellnessrecoveryactionplan.com/wrap-overview/</w:t>
        </w:r>
      </w:hyperlink>
      <w:r>
        <w:t xml:space="preserve"> (accessed September 27, 2026).</w:t>
      </w:r>
    </w:p>
    <w:p w14:paraId="0FB503B8" w14:textId="77777777" w:rsidR="00221A3F" w:rsidRDefault="00221A3F">
      <w:r>
        <w:t xml:space="preserve">Alcoholics Anonymous World Services, Inc. (1952). </w:t>
      </w:r>
      <w:r>
        <w:rPr>
          <w:i/>
          <w:iCs/>
        </w:rPr>
        <w:t>Twelve steps and twelve traditions: Step Ten</w:t>
      </w:r>
      <w:r>
        <w:t xml:space="preserve"> (pp. 88–95). </w:t>
      </w:r>
      <w:hyperlink r:id="rId10" w:history="1">
        <w:r>
          <w:rPr>
            <w:rStyle w:val="Hyperlink"/>
          </w:rPr>
          <w:t>https://www.aa.org/sites/default/files/2022-01/en_step10_0.pdf</w:t>
        </w:r>
      </w:hyperlink>
      <w:r>
        <w:t xml:space="preserve"> (accessed September 27, 2026).</w:t>
      </w:r>
    </w:p>
    <w:p w14:paraId="55714FDF" w14:textId="77777777" w:rsidR="00D5688A" w:rsidRDefault="00D5688A"/>
    <w:sectPr w:rsidR="00D5688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CCA21" w14:textId="77777777" w:rsidR="00CC55B0" w:rsidRDefault="00CC55B0" w:rsidP="00221A3F">
      <w:pPr>
        <w:spacing w:after="0" w:line="240" w:lineRule="auto"/>
      </w:pPr>
      <w:r>
        <w:separator/>
      </w:r>
    </w:p>
  </w:endnote>
  <w:endnote w:type="continuationSeparator" w:id="0">
    <w:p w14:paraId="7430EC86" w14:textId="77777777" w:rsidR="00CC55B0" w:rsidRDefault="00CC55B0" w:rsidP="00221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04D28" w14:textId="77777777" w:rsidR="00CC55B0" w:rsidRDefault="00CC55B0" w:rsidP="00221A3F">
      <w:pPr>
        <w:spacing w:after="0" w:line="240" w:lineRule="auto"/>
      </w:pPr>
      <w:r>
        <w:separator/>
      </w:r>
    </w:p>
  </w:footnote>
  <w:footnote w:type="continuationSeparator" w:id="0">
    <w:p w14:paraId="26F54C51" w14:textId="77777777" w:rsidR="00CC55B0" w:rsidRDefault="00CC55B0" w:rsidP="00221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078136"/>
      <w:docPartObj>
        <w:docPartGallery w:val="Page Numbers (Top of Page)"/>
        <w:docPartUnique/>
      </w:docPartObj>
    </w:sdtPr>
    <w:sdtEndPr>
      <w:rPr>
        <w:noProof/>
      </w:rPr>
    </w:sdtEndPr>
    <w:sdtContent>
      <w:p w14:paraId="0F0435C0" w14:textId="5D08498B" w:rsidR="00221A3F" w:rsidRDefault="00221A3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4F53EB8" w14:textId="77777777" w:rsidR="00221A3F" w:rsidRDefault="00221A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3EB5"/>
    <w:multiLevelType w:val="multilevel"/>
    <w:tmpl w:val="CB6A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A32AF"/>
    <w:multiLevelType w:val="multilevel"/>
    <w:tmpl w:val="2F6C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9820E8"/>
    <w:multiLevelType w:val="multilevel"/>
    <w:tmpl w:val="40100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8965520">
    <w:abstractNumId w:val="1"/>
  </w:num>
  <w:num w:numId="2" w16cid:durableId="1016270327">
    <w:abstractNumId w:val="2"/>
  </w:num>
  <w:num w:numId="3" w16cid:durableId="967904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88A"/>
    <w:rsid w:val="000258D8"/>
    <w:rsid w:val="00221A3F"/>
    <w:rsid w:val="00390117"/>
    <w:rsid w:val="004401C2"/>
    <w:rsid w:val="00557A42"/>
    <w:rsid w:val="006A3D90"/>
    <w:rsid w:val="00743AB6"/>
    <w:rsid w:val="00A4146D"/>
    <w:rsid w:val="00BA3452"/>
    <w:rsid w:val="00CC55B0"/>
    <w:rsid w:val="00D56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B9FFA"/>
  <w15:chartTrackingRefBased/>
  <w15:docId w15:val="{79DC83B9-CBC6-40C4-B832-5FA75F37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6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8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8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8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8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8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8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8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8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8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8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8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8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88A"/>
    <w:rPr>
      <w:rFonts w:eastAsiaTheme="majorEastAsia" w:cstheme="majorBidi"/>
      <w:color w:val="272727" w:themeColor="text1" w:themeTint="D8"/>
    </w:rPr>
  </w:style>
  <w:style w:type="paragraph" w:styleId="Title">
    <w:name w:val="Title"/>
    <w:basedOn w:val="Normal"/>
    <w:next w:val="Normal"/>
    <w:link w:val="TitleChar"/>
    <w:uiPriority w:val="10"/>
    <w:qFormat/>
    <w:rsid w:val="00D56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8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88A"/>
    <w:pPr>
      <w:spacing w:before="160"/>
      <w:jc w:val="center"/>
    </w:pPr>
    <w:rPr>
      <w:i/>
      <w:iCs/>
      <w:color w:val="404040" w:themeColor="text1" w:themeTint="BF"/>
    </w:rPr>
  </w:style>
  <w:style w:type="character" w:customStyle="1" w:styleId="QuoteChar">
    <w:name w:val="Quote Char"/>
    <w:basedOn w:val="DefaultParagraphFont"/>
    <w:link w:val="Quote"/>
    <w:uiPriority w:val="29"/>
    <w:rsid w:val="00D5688A"/>
    <w:rPr>
      <w:i/>
      <w:iCs/>
      <w:color w:val="404040" w:themeColor="text1" w:themeTint="BF"/>
    </w:rPr>
  </w:style>
  <w:style w:type="paragraph" w:styleId="ListParagraph">
    <w:name w:val="List Paragraph"/>
    <w:basedOn w:val="Normal"/>
    <w:uiPriority w:val="34"/>
    <w:qFormat/>
    <w:rsid w:val="00D5688A"/>
    <w:pPr>
      <w:ind w:left="720"/>
      <w:contextualSpacing/>
    </w:pPr>
  </w:style>
  <w:style w:type="character" w:styleId="IntenseEmphasis">
    <w:name w:val="Intense Emphasis"/>
    <w:basedOn w:val="DefaultParagraphFont"/>
    <w:uiPriority w:val="21"/>
    <w:qFormat/>
    <w:rsid w:val="00D5688A"/>
    <w:rPr>
      <w:i/>
      <w:iCs/>
      <w:color w:val="0F4761" w:themeColor="accent1" w:themeShade="BF"/>
    </w:rPr>
  </w:style>
  <w:style w:type="paragraph" w:styleId="IntenseQuote">
    <w:name w:val="Intense Quote"/>
    <w:basedOn w:val="Normal"/>
    <w:next w:val="Normal"/>
    <w:link w:val="IntenseQuoteChar"/>
    <w:uiPriority w:val="30"/>
    <w:qFormat/>
    <w:rsid w:val="00D56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88A"/>
    <w:rPr>
      <w:i/>
      <w:iCs/>
      <w:color w:val="0F4761" w:themeColor="accent1" w:themeShade="BF"/>
    </w:rPr>
  </w:style>
  <w:style w:type="character" w:styleId="IntenseReference">
    <w:name w:val="Intense Reference"/>
    <w:basedOn w:val="DefaultParagraphFont"/>
    <w:uiPriority w:val="32"/>
    <w:qFormat/>
    <w:rsid w:val="00D5688A"/>
    <w:rPr>
      <w:b/>
      <w:bCs/>
      <w:smallCaps/>
      <w:color w:val="0F4761" w:themeColor="accent1" w:themeShade="BF"/>
      <w:spacing w:val="5"/>
    </w:rPr>
  </w:style>
  <w:style w:type="character" w:styleId="BookTitle">
    <w:name w:val="Book Title"/>
    <w:basedOn w:val="DefaultParagraphFont"/>
    <w:uiPriority w:val="33"/>
    <w:qFormat/>
    <w:rsid w:val="00D5688A"/>
    <w:rPr>
      <w:b/>
      <w:bCs/>
      <w:i/>
      <w:iCs/>
      <w:spacing w:val="5"/>
    </w:rPr>
  </w:style>
  <w:style w:type="paragraph" w:styleId="Caption">
    <w:name w:val="caption"/>
    <w:basedOn w:val="Normal"/>
    <w:next w:val="Normal"/>
    <w:uiPriority w:val="35"/>
    <w:semiHidden/>
    <w:unhideWhenUsed/>
    <w:qFormat/>
    <w:rsid w:val="00D5688A"/>
    <w:pPr>
      <w:spacing w:after="200" w:line="240" w:lineRule="auto"/>
    </w:pPr>
    <w:rPr>
      <w:i/>
      <w:iCs/>
      <w:color w:val="0E2841" w:themeColor="text2"/>
      <w:sz w:val="18"/>
      <w:szCs w:val="18"/>
    </w:rPr>
  </w:style>
  <w:style w:type="character" w:styleId="Emphasis">
    <w:name w:val="Emphasis"/>
    <w:basedOn w:val="DefaultParagraphFont"/>
    <w:uiPriority w:val="20"/>
    <w:qFormat/>
    <w:rsid w:val="00D5688A"/>
    <w:rPr>
      <w:i/>
      <w:iCs/>
    </w:rPr>
  </w:style>
  <w:style w:type="paragraph" w:styleId="NoSpacing">
    <w:name w:val="No Spacing"/>
    <w:uiPriority w:val="1"/>
    <w:qFormat/>
    <w:rsid w:val="00D5688A"/>
    <w:pPr>
      <w:spacing w:after="0" w:line="240" w:lineRule="auto"/>
    </w:pPr>
  </w:style>
  <w:style w:type="character" w:styleId="Strong">
    <w:name w:val="Strong"/>
    <w:basedOn w:val="DefaultParagraphFont"/>
    <w:uiPriority w:val="22"/>
    <w:qFormat/>
    <w:rsid w:val="00D5688A"/>
    <w:rPr>
      <w:b/>
      <w:bCs/>
    </w:rPr>
  </w:style>
  <w:style w:type="character" w:styleId="SubtleEmphasis">
    <w:name w:val="Subtle Emphasis"/>
    <w:basedOn w:val="DefaultParagraphFont"/>
    <w:uiPriority w:val="19"/>
    <w:qFormat/>
    <w:rsid w:val="00D5688A"/>
    <w:rPr>
      <w:i/>
      <w:iCs/>
      <w:color w:val="404040" w:themeColor="text1" w:themeTint="BF"/>
    </w:rPr>
  </w:style>
  <w:style w:type="character" w:styleId="SubtleReference">
    <w:name w:val="Subtle Reference"/>
    <w:basedOn w:val="DefaultParagraphFont"/>
    <w:uiPriority w:val="31"/>
    <w:qFormat/>
    <w:rsid w:val="00D5688A"/>
    <w:rPr>
      <w:smallCaps/>
      <w:color w:val="5A5A5A" w:themeColor="text1" w:themeTint="A5"/>
    </w:rPr>
  </w:style>
  <w:style w:type="paragraph" w:styleId="TOCHeading">
    <w:name w:val="TOC Heading"/>
    <w:basedOn w:val="Heading1"/>
    <w:next w:val="Normal"/>
    <w:uiPriority w:val="39"/>
    <w:semiHidden/>
    <w:unhideWhenUsed/>
    <w:qFormat/>
    <w:rsid w:val="00D5688A"/>
    <w:pPr>
      <w:spacing w:before="240" w:after="0"/>
      <w:outlineLvl w:val="9"/>
    </w:pPr>
    <w:rPr>
      <w:sz w:val="32"/>
      <w:szCs w:val="32"/>
    </w:rPr>
  </w:style>
  <w:style w:type="paragraph" w:styleId="NormalWeb">
    <w:name w:val="Normal (Web)"/>
    <w:basedOn w:val="Normal"/>
    <w:uiPriority w:val="99"/>
    <w:semiHidden/>
    <w:unhideWhenUsed/>
    <w:rsid w:val="00D5688A"/>
    <w:pPr>
      <w:spacing w:before="100" w:beforeAutospacing="1" w:after="100" w:afterAutospacing="1" w:line="240" w:lineRule="auto"/>
    </w:pPr>
    <w:rPr>
      <w:rFonts w:ascii="Times New Roman" w:hAnsi="Times New Roman" w:cs="Times New Roman"/>
    </w:rPr>
  </w:style>
  <w:style w:type="character" w:styleId="Hyperlink">
    <w:name w:val="Hyperlink"/>
    <w:basedOn w:val="DefaultParagraphFont"/>
    <w:uiPriority w:val="99"/>
    <w:semiHidden/>
    <w:unhideWhenUsed/>
    <w:rsid w:val="00221A3F"/>
    <w:rPr>
      <w:color w:val="0000FF"/>
      <w:u w:val="single"/>
    </w:rPr>
  </w:style>
  <w:style w:type="paragraph" w:styleId="Header">
    <w:name w:val="header"/>
    <w:basedOn w:val="Normal"/>
    <w:link w:val="HeaderChar"/>
    <w:uiPriority w:val="99"/>
    <w:unhideWhenUsed/>
    <w:rsid w:val="00221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A3F"/>
  </w:style>
  <w:style w:type="paragraph" w:styleId="Footer">
    <w:name w:val="footer"/>
    <w:basedOn w:val="Normal"/>
    <w:link w:val="FooterChar"/>
    <w:uiPriority w:val="99"/>
    <w:unhideWhenUsed/>
    <w:rsid w:val="00221A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llnessrecoveryactionplan.com/what-is-wra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aa.org/sites/default/files/2022-01/en_step10_0.pdf" TargetMode="External"/><Relationship Id="rId4" Type="http://schemas.openxmlformats.org/officeDocument/2006/relationships/settings" Target="settings.xml"/><Relationship Id="rId9" Type="http://schemas.openxmlformats.org/officeDocument/2006/relationships/hyperlink" Target="https://www.wellnessrecoveryactionplan.com/wrap-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39E8E-4C8C-4CEE-A0D4-9AE21455C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6</cp:revision>
  <dcterms:created xsi:type="dcterms:W3CDTF">2026-09-27T22:17:00Z</dcterms:created>
  <dcterms:modified xsi:type="dcterms:W3CDTF">2026-10-01T20:02:00Z</dcterms:modified>
</cp:coreProperties>
</file>