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0F9759" w14:textId="77777777" w:rsidR="0040090C" w:rsidRDefault="005B47B4">
      <w:pPr>
        <w:pStyle w:val="Title"/>
        <w:rPr>
          <w:b/>
          <w:bCs/>
        </w:rPr>
      </w:pPr>
      <w:r w:rsidRPr="007033C8">
        <w:rPr>
          <w:b/>
          <w:bCs/>
        </w:rPr>
        <w:t xml:space="preserve">How a </w:t>
      </w:r>
    </w:p>
    <w:p w14:paraId="65DE4A2A" w14:textId="569966F5" w:rsidR="00D3592E" w:rsidRPr="00422441" w:rsidRDefault="005B47B4">
      <w:pPr>
        <w:pStyle w:val="Title"/>
        <w:rPr>
          <w:b/>
          <w:bCs/>
          <w:color w:val="C00000"/>
        </w:rPr>
      </w:pPr>
      <w:r w:rsidRPr="00422441">
        <w:rPr>
          <w:b/>
          <w:bCs/>
          <w:color w:val="C00000"/>
        </w:rPr>
        <w:t xml:space="preserve">Wellness Recovery Action Plan (WRAP) </w:t>
      </w:r>
      <w:r w:rsidRPr="007033C8">
        <w:rPr>
          <w:b/>
          <w:bCs/>
        </w:rPr>
        <w:t xml:space="preserve">Can Support Practice of the </w:t>
      </w:r>
      <w:r w:rsidRPr="00422441">
        <w:rPr>
          <w:b/>
          <w:bCs/>
          <w:color w:val="C00000"/>
        </w:rPr>
        <w:t>Sixth Step</w:t>
      </w:r>
    </w:p>
    <w:p w14:paraId="666A69D1" w14:textId="77777777" w:rsidR="005B47B4" w:rsidRPr="007033C8" w:rsidRDefault="005B47B4">
      <w:pPr>
        <w:pStyle w:val="Subtitle"/>
        <w:rPr>
          <w:b/>
          <w:bCs/>
          <w:color w:val="002060"/>
        </w:rPr>
      </w:pPr>
      <w:r w:rsidRPr="007033C8">
        <w:rPr>
          <w:b/>
          <w:bCs/>
          <w:color w:val="002060"/>
        </w:rPr>
        <w:t>A practical, person-centered approach to readiness, self-awareness, and lasting change</w:t>
      </w:r>
    </w:p>
    <w:p w14:paraId="401DF459" w14:textId="6526F098" w:rsidR="005B47B4" w:rsidRDefault="005B47B4" w:rsidP="008854EF">
      <w:pPr>
        <w:jc w:val="both"/>
      </w:pPr>
      <w:r>
        <w:t>In many Twelve Step fellowships, the Sixth Step is expressed as becoming entirely ready to have one’s character defects removed. Wellness Recovery Action Plan (WRAP) can complement this work by turning readiness into a compassionate, observable, and repeatable wellness practice. WRAP does not replace sponsorship, fellowship participation, spiritual guidance, therapy, or medical care. Instead, it offers a self-directed structure for noticing patterns, choosing supports, and responding early when old behaviors begin to return.</w:t>
      </w:r>
      <w:r w:rsidR="00BD4BFF">
        <w:t xml:space="preserve"> (Alcoholics Anonymous World Services, 1952; Copeland, 2015)</w:t>
      </w:r>
    </w:p>
    <w:p w14:paraId="1800A238" w14:textId="77777777" w:rsidR="005B47B4" w:rsidRPr="00E91931" w:rsidRDefault="005B47B4">
      <w:pPr>
        <w:pStyle w:val="Heading1"/>
        <w:rPr>
          <w:rFonts w:asciiTheme="minorHAnsi" w:hAnsiTheme="minorHAnsi" w:cstheme="minorBidi"/>
          <w:b/>
          <w:bCs/>
        </w:rPr>
      </w:pPr>
      <w:r w:rsidRPr="00E91931">
        <w:rPr>
          <w:rFonts w:asciiTheme="minorHAnsi" w:hAnsiTheme="minorHAnsi" w:cstheme="minorBidi"/>
          <w:b/>
          <w:bCs/>
        </w:rPr>
        <w:t>Understanding the Connection</w:t>
      </w:r>
    </w:p>
    <w:p w14:paraId="3705D3E5" w14:textId="77777777" w:rsidR="005B47B4" w:rsidRDefault="005B47B4">
      <w:pPr>
        <w:pStyle w:val="Heading2"/>
        <w:rPr>
          <w:rFonts w:asciiTheme="minorHAnsi" w:hAnsiTheme="minorHAnsi" w:cstheme="minorBidi"/>
        </w:rPr>
      </w:pPr>
      <w:r>
        <w:rPr>
          <w:rFonts w:asciiTheme="minorHAnsi" w:hAnsiTheme="minorHAnsi" w:cstheme="minorBidi"/>
        </w:rPr>
        <w:t>What WRAP Provides</w:t>
      </w:r>
    </w:p>
    <w:p w14:paraId="42E7DACF" w14:textId="7C38B7A7" w:rsidR="005B47B4" w:rsidRDefault="005B47B4" w:rsidP="00E91931">
      <w:pPr>
        <w:jc w:val="both"/>
      </w:pPr>
      <w:r>
        <w:t>WRAP is a self-directed wellness and recovery process built around personal strengths, hope, responsibility, education, self-advocacy, and support. A person develops a Wellness Toolbox and uses it to describe daily wellness, identify triggers and warning signs, choose responses, and plan for times when decision-making or functioning becomes difficult. The plan is individualized: it reflects what helps the person rather than prescribing a single path.</w:t>
      </w:r>
      <w:r w:rsidR="00BD4BFF">
        <w:t xml:space="preserve"> (Copeland, 2015; Cook et al., 2012)</w:t>
      </w:r>
    </w:p>
    <w:p w14:paraId="295354F9" w14:textId="77777777" w:rsidR="005B47B4" w:rsidRDefault="005B47B4">
      <w:pPr>
        <w:pStyle w:val="Heading2"/>
        <w:rPr>
          <w:rFonts w:asciiTheme="minorHAnsi" w:hAnsiTheme="minorHAnsi" w:cstheme="minorBidi"/>
        </w:rPr>
      </w:pPr>
      <w:r>
        <w:rPr>
          <w:rFonts w:asciiTheme="minorHAnsi" w:hAnsiTheme="minorHAnsi" w:cstheme="minorBidi"/>
        </w:rPr>
        <w:t>What the Sixth Step Invites</w:t>
      </w:r>
    </w:p>
    <w:p w14:paraId="133C666C" w14:textId="21E8D4CE" w:rsidR="005B47B4" w:rsidRDefault="005B47B4" w:rsidP="00551F78">
      <w:pPr>
        <w:jc w:val="both"/>
      </w:pPr>
      <w:r>
        <w:t>The Sixth Step focuses on willingness and readiness. It asks an individual to recognize patterns that have caused harm, loosen attachment to them, and become open to change. “Character defects” need not be treated as proof of personal worthlessness. They can be understood as habits, defenses, attitudes, or coping strategies that may once have served a purpose but now interfere with recovery, relationships, or wellbeing.</w:t>
      </w:r>
      <w:r w:rsidR="00BD4BFF">
        <w:t xml:space="preserve"> (Alcoholics Anonymous World Services, 1952)</w:t>
      </w:r>
    </w:p>
    <w:p w14:paraId="2A00C9A0" w14:textId="77777777" w:rsidR="005B47B4" w:rsidRPr="003977C9" w:rsidRDefault="005B47B4">
      <w:pPr>
        <w:pStyle w:val="Heading1"/>
        <w:rPr>
          <w:rFonts w:asciiTheme="minorHAnsi" w:hAnsiTheme="minorHAnsi" w:cstheme="minorBidi"/>
          <w:b/>
          <w:bCs/>
        </w:rPr>
      </w:pPr>
      <w:r w:rsidRPr="003977C9">
        <w:rPr>
          <w:rFonts w:asciiTheme="minorHAnsi" w:hAnsiTheme="minorHAnsi" w:cstheme="minorBidi"/>
          <w:b/>
          <w:bCs/>
        </w:rPr>
        <w:lastRenderedPageBreak/>
        <w:t>Ways WRAP Can Benefit Sixth Step Practice</w:t>
      </w:r>
    </w:p>
    <w:p w14:paraId="4667C33E" w14:textId="77777777" w:rsidR="005B47B4" w:rsidRDefault="005B47B4">
      <w:pPr>
        <w:pStyle w:val="Heading2"/>
        <w:rPr>
          <w:rFonts w:asciiTheme="minorHAnsi" w:hAnsiTheme="minorHAnsi" w:cstheme="minorBidi"/>
        </w:rPr>
      </w:pPr>
      <w:r>
        <w:rPr>
          <w:rFonts w:asciiTheme="minorHAnsi" w:hAnsiTheme="minorHAnsi" w:cstheme="minorBidi"/>
        </w:rPr>
        <w:t>1. Reframes Change Without Shame</w:t>
      </w:r>
    </w:p>
    <w:p w14:paraId="681D2566" w14:textId="77777777" w:rsidR="005B47B4" w:rsidRDefault="005B47B4" w:rsidP="00B81D39">
      <w:pPr>
        <w:jc w:val="both"/>
      </w:pPr>
      <w:r>
        <w:t>WRAP emphasizes hope, dignity, and personal responsibility. This can help a person examine problematic patterns honestly without collapsing into self-condemnation. Readiness then becomes an act of self-respect: “I can acknowledge this pattern, understand its effects, and choose support for doing something different.”</w:t>
      </w:r>
    </w:p>
    <w:p w14:paraId="62217A13" w14:textId="77777777" w:rsidR="005B47B4" w:rsidRDefault="005B47B4">
      <w:pPr>
        <w:pStyle w:val="Heading2"/>
        <w:rPr>
          <w:rFonts w:asciiTheme="minorHAnsi" w:hAnsiTheme="minorHAnsi" w:cstheme="minorBidi"/>
        </w:rPr>
      </w:pPr>
      <w:r>
        <w:rPr>
          <w:rFonts w:asciiTheme="minorHAnsi" w:hAnsiTheme="minorHAnsi" w:cstheme="minorBidi"/>
        </w:rPr>
        <w:t>2. Makes Patterns Easier to Recognize</w:t>
      </w:r>
    </w:p>
    <w:p w14:paraId="00838648" w14:textId="77777777" w:rsidR="005B47B4" w:rsidRDefault="005B47B4" w:rsidP="00B81D39">
      <w:pPr>
        <w:jc w:val="both"/>
      </w:pPr>
      <w:r>
        <w:t xml:space="preserve">Triggers and early warning signs can </w:t>
      </w:r>
      <w:proofErr w:type="gramStart"/>
      <w:r>
        <w:t>reveal</w:t>
      </w:r>
      <w:proofErr w:type="gramEnd"/>
      <w:r>
        <w:t xml:space="preserve"> when a familiar behavior is gaining strength. For example, defensiveness may be preceded by poor sleep, isolation, resentment, or fear of criticism. Naming these conditions creates a pause between impulse and action, making willingness more concrete.</w:t>
      </w:r>
    </w:p>
    <w:p w14:paraId="2368D208" w14:textId="57F79553" w:rsidR="005B47B4" w:rsidRDefault="005B47B4">
      <w:pPr>
        <w:pStyle w:val="Heading2"/>
        <w:rPr>
          <w:rFonts w:asciiTheme="minorHAnsi" w:hAnsiTheme="minorHAnsi" w:cstheme="minorBidi"/>
        </w:rPr>
      </w:pPr>
      <w:r>
        <w:rPr>
          <w:rFonts w:asciiTheme="minorHAnsi" w:hAnsiTheme="minorHAnsi" w:cstheme="minorBidi"/>
        </w:rPr>
        <w:t xml:space="preserve">3. Replaces Old Coping Patterns </w:t>
      </w:r>
      <w:r w:rsidR="0010414D">
        <w:rPr>
          <w:rFonts w:asciiTheme="minorHAnsi" w:hAnsiTheme="minorHAnsi" w:cstheme="minorBidi"/>
        </w:rPr>
        <w:t>with</w:t>
      </w:r>
      <w:r>
        <w:rPr>
          <w:rFonts w:asciiTheme="minorHAnsi" w:hAnsiTheme="minorHAnsi" w:cstheme="minorBidi"/>
        </w:rPr>
        <w:t xml:space="preserve"> Wellness Tools</w:t>
      </w:r>
    </w:p>
    <w:p w14:paraId="4AABE789" w14:textId="77777777" w:rsidR="005B47B4" w:rsidRDefault="005B47B4" w:rsidP="0010414D">
      <w:pPr>
        <w:jc w:val="both"/>
      </w:pPr>
      <w:r>
        <w:t>Letting go is more sustainable when a person has alternatives. A Wellness Toolbox might include calling a sponsor or trusted peer, attending a meeting, prayer or meditation, journaling, taking a walk, setting a boundary, pausing before responding, eating regularly, resting, or seeking professional support. These tools provide constructive actions when an old response is activated.</w:t>
      </w:r>
    </w:p>
    <w:p w14:paraId="39619157" w14:textId="77777777" w:rsidR="005B47B4" w:rsidRDefault="005B47B4">
      <w:pPr>
        <w:pStyle w:val="Heading2"/>
        <w:rPr>
          <w:rFonts w:asciiTheme="minorHAnsi" w:hAnsiTheme="minorHAnsi" w:cstheme="minorBidi"/>
        </w:rPr>
      </w:pPr>
      <w:r>
        <w:rPr>
          <w:rFonts w:asciiTheme="minorHAnsi" w:hAnsiTheme="minorHAnsi" w:cstheme="minorBidi"/>
        </w:rPr>
        <w:t>4. Strengthens Support and Accountability</w:t>
      </w:r>
    </w:p>
    <w:p w14:paraId="57CD5908" w14:textId="77777777" w:rsidR="005B47B4" w:rsidRDefault="005B47B4" w:rsidP="006968EC">
      <w:pPr>
        <w:jc w:val="both"/>
      </w:pPr>
      <w:r>
        <w:t>A written plan helps the individual tell others what support is useful. It can identify whom to contact, what kind of reminder is welcome, and what responses are not helpful. This supports honest Sixth Step conversations with a sponsor, peer, trusted spiritual adviser, counselor, or other member of the recovery network.</w:t>
      </w:r>
    </w:p>
    <w:p w14:paraId="30B25663" w14:textId="77777777" w:rsidR="005B47B4" w:rsidRDefault="005B47B4">
      <w:pPr>
        <w:pStyle w:val="Heading2"/>
        <w:rPr>
          <w:rFonts w:asciiTheme="minorHAnsi" w:hAnsiTheme="minorHAnsi" w:cstheme="minorBidi"/>
        </w:rPr>
      </w:pPr>
      <w:r>
        <w:rPr>
          <w:rFonts w:asciiTheme="minorHAnsi" w:hAnsiTheme="minorHAnsi" w:cstheme="minorBidi"/>
        </w:rPr>
        <w:t>5. Measures Progress Without Demanding Perfection</w:t>
      </w:r>
    </w:p>
    <w:p w14:paraId="577FFC61" w14:textId="77777777" w:rsidR="005B47B4" w:rsidRDefault="005B47B4" w:rsidP="003E6CFD">
      <w:pPr>
        <w:jc w:val="both"/>
      </w:pPr>
      <w:r>
        <w:t>WRAP encourages observation and adjustment. Progress may appear as noticing a pattern sooner, asking for help earlier, shortening the duration of a harmful reaction, making amends more promptly, or choosing a healthier response more often. This approach supports persistence while preserving the Sixth Step’s call to sincere willingness.</w:t>
      </w:r>
    </w:p>
    <w:p w14:paraId="4EE3FC0D" w14:textId="77777777" w:rsidR="00DC56CC" w:rsidRDefault="00DC56CC">
      <w:pPr>
        <w:rPr>
          <w:rFonts w:eastAsiaTheme="majorEastAsia"/>
          <w:b/>
          <w:bCs/>
          <w:color w:val="0F4761" w:themeColor="accent1" w:themeShade="BF"/>
          <w:sz w:val="40"/>
          <w:szCs w:val="40"/>
        </w:rPr>
      </w:pPr>
      <w:r>
        <w:rPr>
          <w:b/>
          <w:bCs/>
        </w:rPr>
        <w:br w:type="page"/>
      </w:r>
    </w:p>
    <w:p w14:paraId="11F8265B" w14:textId="0AB14D02" w:rsidR="005B47B4" w:rsidRPr="00DC56CC" w:rsidRDefault="005B47B4">
      <w:pPr>
        <w:pStyle w:val="Heading1"/>
        <w:rPr>
          <w:rFonts w:asciiTheme="minorHAnsi" w:hAnsiTheme="minorHAnsi" w:cstheme="minorBidi"/>
          <w:b/>
          <w:bCs/>
        </w:rPr>
      </w:pPr>
      <w:r w:rsidRPr="00DC56CC">
        <w:rPr>
          <w:rFonts w:asciiTheme="minorHAnsi" w:hAnsiTheme="minorHAnsi" w:cstheme="minorBidi"/>
          <w:b/>
          <w:bCs/>
        </w:rPr>
        <w:lastRenderedPageBreak/>
        <w:t>Connecting WRAP Components to Sixth Step Work</w:t>
      </w:r>
    </w:p>
    <w:tbl>
      <w:tblPr>
        <w:tblStyle w:val="GridTable4-Accent1"/>
        <w:tblW w:w="5000" w:type="pct"/>
        <w:tblLook w:val="04A0" w:firstRow="1" w:lastRow="0" w:firstColumn="1" w:lastColumn="0" w:noHBand="0" w:noVBand="1"/>
      </w:tblPr>
      <w:tblGrid>
        <w:gridCol w:w="2702"/>
        <w:gridCol w:w="6648"/>
      </w:tblGrid>
      <w:tr w:rsidR="005B47B4" w:rsidRPr="000609D1" w14:paraId="1EDB86E1"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2987D92" w14:textId="26EA7330" w:rsidR="005B47B4" w:rsidRPr="000609D1" w:rsidRDefault="005B47B4">
            <w:pPr>
              <w:spacing w:after="160"/>
              <w:rPr>
                <w:sz w:val="20"/>
                <w:szCs w:val="20"/>
              </w:rPr>
            </w:pPr>
            <w:r w:rsidRPr="000609D1">
              <w:rPr>
                <w:sz w:val="20"/>
                <w:szCs w:val="20"/>
              </w:rPr>
              <w:t>WRAP Component</w:t>
            </w:r>
            <w:r w:rsidR="00BD4BFF" w:rsidRPr="000609D1">
              <w:rPr>
                <w:sz w:val="20"/>
                <w:szCs w:val="20"/>
              </w:rPr>
              <w:t xml:space="preserve"> (Copeland, 2015)</w:t>
            </w:r>
          </w:p>
        </w:tc>
        <w:tc>
          <w:tcPr>
            <w:tcW w:w="0" w:type="auto"/>
            <w:hideMark/>
          </w:tcPr>
          <w:p w14:paraId="4F162022" w14:textId="77777777" w:rsidR="005B47B4" w:rsidRPr="000609D1" w:rsidRDefault="005B47B4">
            <w:pPr>
              <w:spacing w:after="160"/>
              <w:cnfStyle w:val="100000000000" w:firstRow="1" w:lastRow="0" w:firstColumn="0" w:lastColumn="0" w:oddVBand="0" w:evenVBand="0" w:oddHBand="0" w:evenHBand="0" w:firstRowFirstColumn="0" w:firstRowLastColumn="0" w:lastRowFirstColumn="0" w:lastRowLastColumn="0"/>
              <w:rPr>
                <w:sz w:val="20"/>
                <w:szCs w:val="20"/>
              </w:rPr>
            </w:pPr>
            <w:r w:rsidRPr="000609D1">
              <w:rPr>
                <w:sz w:val="20"/>
                <w:szCs w:val="20"/>
              </w:rPr>
              <w:t xml:space="preserve">Application </w:t>
            </w:r>
            <w:proofErr w:type="gramStart"/>
            <w:r w:rsidRPr="000609D1">
              <w:rPr>
                <w:sz w:val="20"/>
                <w:szCs w:val="20"/>
              </w:rPr>
              <w:t>to</w:t>
            </w:r>
            <w:proofErr w:type="gramEnd"/>
            <w:r w:rsidRPr="000609D1">
              <w:rPr>
                <w:sz w:val="20"/>
                <w:szCs w:val="20"/>
              </w:rPr>
              <w:t xml:space="preserve"> the Sixth Step</w:t>
            </w:r>
          </w:p>
        </w:tc>
      </w:tr>
      <w:tr w:rsidR="005B47B4" w:rsidRPr="000609D1" w14:paraId="530D0FF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6D22700" w14:textId="77777777" w:rsidR="005B47B4" w:rsidRPr="000609D1" w:rsidRDefault="005B47B4">
            <w:pPr>
              <w:spacing w:after="160"/>
              <w:rPr>
                <w:sz w:val="20"/>
                <w:szCs w:val="20"/>
              </w:rPr>
            </w:pPr>
            <w:r w:rsidRPr="000609D1">
              <w:rPr>
                <w:sz w:val="20"/>
                <w:szCs w:val="20"/>
              </w:rPr>
              <w:t>Wellness Toolbox</w:t>
            </w:r>
          </w:p>
        </w:tc>
        <w:tc>
          <w:tcPr>
            <w:tcW w:w="0" w:type="auto"/>
            <w:hideMark/>
          </w:tcPr>
          <w:p w14:paraId="272F0CDC" w14:textId="77777777" w:rsidR="005B47B4" w:rsidRPr="000609D1" w:rsidRDefault="005B47B4">
            <w:pPr>
              <w:spacing w:after="160"/>
              <w:cnfStyle w:val="000000100000" w:firstRow="0" w:lastRow="0" w:firstColumn="0" w:lastColumn="0" w:oddVBand="0" w:evenVBand="0" w:oddHBand="1" w:evenHBand="0" w:firstRowFirstColumn="0" w:firstRowLastColumn="0" w:lastRowFirstColumn="0" w:lastRowLastColumn="0"/>
              <w:rPr>
                <w:sz w:val="20"/>
                <w:szCs w:val="20"/>
              </w:rPr>
            </w:pPr>
            <w:r w:rsidRPr="000609D1">
              <w:rPr>
                <w:sz w:val="20"/>
                <w:szCs w:val="20"/>
              </w:rPr>
              <w:t>Lists healthy actions that can replace or interrupt an old pattern.</w:t>
            </w:r>
          </w:p>
        </w:tc>
      </w:tr>
      <w:tr w:rsidR="005B47B4" w:rsidRPr="000609D1" w14:paraId="7C43C7B4"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372956FC" w14:textId="77777777" w:rsidR="005B47B4" w:rsidRPr="000609D1" w:rsidRDefault="005B47B4">
            <w:pPr>
              <w:spacing w:after="160"/>
              <w:rPr>
                <w:sz w:val="20"/>
                <w:szCs w:val="20"/>
              </w:rPr>
            </w:pPr>
            <w:r w:rsidRPr="000609D1">
              <w:rPr>
                <w:sz w:val="20"/>
                <w:szCs w:val="20"/>
              </w:rPr>
              <w:t>Daily Maintenance Plan</w:t>
            </w:r>
          </w:p>
        </w:tc>
        <w:tc>
          <w:tcPr>
            <w:tcW w:w="0" w:type="auto"/>
            <w:hideMark/>
          </w:tcPr>
          <w:p w14:paraId="47FAD17F" w14:textId="77777777" w:rsidR="005B47B4" w:rsidRPr="000609D1" w:rsidRDefault="005B47B4">
            <w:pPr>
              <w:spacing w:after="160"/>
              <w:cnfStyle w:val="000000000000" w:firstRow="0" w:lastRow="0" w:firstColumn="0" w:lastColumn="0" w:oddVBand="0" w:evenVBand="0" w:oddHBand="0" w:evenHBand="0" w:firstRowFirstColumn="0" w:firstRowLastColumn="0" w:lastRowFirstColumn="0" w:lastRowLastColumn="0"/>
              <w:rPr>
                <w:sz w:val="20"/>
                <w:szCs w:val="20"/>
              </w:rPr>
            </w:pPr>
            <w:r w:rsidRPr="000609D1">
              <w:rPr>
                <w:sz w:val="20"/>
                <w:szCs w:val="20"/>
              </w:rPr>
              <w:t>Defines what being well looks like and identifies daily practices that support honesty, balance, and willingness.</w:t>
            </w:r>
          </w:p>
        </w:tc>
      </w:tr>
      <w:tr w:rsidR="005B47B4" w:rsidRPr="000609D1" w14:paraId="4D5A12A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F514B09" w14:textId="77777777" w:rsidR="005B47B4" w:rsidRPr="000609D1" w:rsidRDefault="005B47B4">
            <w:pPr>
              <w:spacing w:after="160"/>
              <w:rPr>
                <w:sz w:val="20"/>
                <w:szCs w:val="20"/>
              </w:rPr>
            </w:pPr>
            <w:r w:rsidRPr="000609D1">
              <w:rPr>
                <w:sz w:val="20"/>
                <w:szCs w:val="20"/>
              </w:rPr>
              <w:t>Triggers</w:t>
            </w:r>
          </w:p>
        </w:tc>
        <w:tc>
          <w:tcPr>
            <w:tcW w:w="0" w:type="auto"/>
            <w:hideMark/>
          </w:tcPr>
          <w:p w14:paraId="7CB881D7" w14:textId="77777777" w:rsidR="005B47B4" w:rsidRPr="000609D1" w:rsidRDefault="005B47B4">
            <w:pPr>
              <w:spacing w:after="160"/>
              <w:cnfStyle w:val="000000100000" w:firstRow="0" w:lastRow="0" w:firstColumn="0" w:lastColumn="0" w:oddVBand="0" w:evenVBand="0" w:oddHBand="1" w:evenHBand="0" w:firstRowFirstColumn="0" w:firstRowLastColumn="0" w:lastRowFirstColumn="0" w:lastRowLastColumn="0"/>
              <w:rPr>
                <w:sz w:val="20"/>
                <w:szCs w:val="20"/>
              </w:rPr>
            </w:pPr>
            <w:r w:rsidRPr="000609D1">
              <w:rPr>
                <w:sz w:val="20"/>
                <w:szCs w:val="20"/>
              </w:rPr>
              <w:t>Names situations that activate defensiveness, control, avoidance, resentment, or other unwanted responses.</w:t>
            </w:r>
          </w:p>
        </w:tc>
      </w:tr>
      <w:tr w:rsidR="005B47B4" w:rsidRPr="000609D1" w14:paraId="0A43670D"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138BADE7" w14:textId="77777777" w:rsidR="005B47B4" w:rsidRPr="000609D1" w:rsidRDefault="005B47B4">
            <w:pPr>
              <w:spacing w:after="160"/>
              <w:rPr>
                <w:sz w:val="20"/>
                <w:szCs w:val="20"/>
              </w:rPr>
            </w:pPr>
            <w:r w:rsidRPr="000609D1">
              <w:rPr>
                <w:sz w:val="20"/>
                <w:szCs w:val="20"/>
              </w:rPr>
              <w:t>Early Warning Signs</w:t>
            </w:r>
          </w:p>
        </w:tc>
        <w:tc>
          <w:tcPr>
            <w:tcW w:w="0" w:type="auto"/>
            <w:hideMark/>
          </w:tcPr>
          <w:p w14:paraId="709B20BA" w14:textId="77777777" w:rsidR="005B47B4" w:rsidRPr="000609D1" w:rsidRDefault="005B47B4">
            <w:pPr>
              <w:spacing w:after="160"/>
              <w:cnfStyle w:val="000000000000" w:firstRow="0" w:lastRow="0" w:firstColumn="0" w:lastColumn="0" w:oddVBand="0" w:evenVBand="0" w:oddHBand="0" w:evenHBand="0" w:firstRowFirstColumn="0" w:firstRowLastColumn="0" w:lastRowFirstColumn="0" w:lastRowLastColumn="0"/>
              <w:rPr>
                <w:sz w:val="20"/>
                <w:szCs w:val="20"/>
              </w:rPr>
            </w:pPr>
            <w:r w:rsidRPr="000609D1">
              <w:rPr>
                <w:sz w:val="20"/>
                <w:szCs w:val="20"/>
              </w:rPr>
              <w:t>Identifies subtle changes in thoughts, feelings, routines, or behavior before the pattern escalates.</w:t>
            </w:r>
          </w:p>
        </w:tc>
      </w:tr>
      <w:tr w:rsidR="005B47B4" w:rsidRPr="000609D1" w14:paraId="0B6A717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6D50B5A" w14:textId="77777777" w:rsidR="005B47B4" w:rsidRPr="000609D1" w:rsidRDefault="005B47B4">
            <w:pPr>
              <w:spacing w:after="160"/>
              <w:rPr>
                <w:sz w:val="20"/>
                <w:szCs w:val="20"/>
              </w:rPr>
            </w:pPr>
            <w:r w:rsidRPr="000609D1">
              <w:rPr>
                <w:sz w:val="20"/>
                <w:szCs w:val="20"/>
              </w:rPr>
              <w:t>When Things Are Breaking Down</w:t>
            </w:r>
          </w:p>
        </w:tc>
        <w:tc>
          <w:tcPr>
            <w:tcW w:w="0" w:type="auto"/>
            <w:hideMark/>
          </w:tcPr>
          <w:p w14:paraId="46216D49" w14:textId="77777777" w:rsidR="005B47B4" w:rsidRPr="000609D1" w:rsidRDefault="005B47B4">
            <w:pPr>
              <w:spacing w:after="160"/>
              <w:cnfStyle w:val="000000100000" w:firstRow="0" w:lastRow="0" w:firstColumn="0" w:lastColumn="0" w:oddVBand="0" w:evenVBand="0" w:oddHBand="1" w:evenHBand="0" w:firstRowFirstColumn="0" w:firstRowLastColumn="0" w:lastRowFirstColumn="0" w:lastRowLastColumn="0"/>
              <w:rPr>
                <w:sz w:val="20"/>
                <w:szCs w:val="20"/>
              </w:rPr>
            </w:pPr>
            <w:r w:rsidRPr="000609D1">
              <w:rPr>
                <w:sz w:val="20"/>
                <w:szCs w:val="20"/>
              </w:rPr>
              <w:t>Provides direct actions to reduce harm and reconnect with support when usual tools are not enough.</w:t>
            </w:r>
          </w:p>
        </w:tc>
      </w:tr>
      <w:tr w:rsidR="005B47B4" w:rsidRPr="000609D1" w14:paraId="4DBFF284"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0D8EF9C9" w14:textId="77777777" w:rsidR="005B47B4" w:rsidRPr="000609D1" w:rsidRDefault="005B47B4">
            <w:pPr>
              <w:spacing w:after="160"/>
              <w:rPr>
                <w:sz w:val="20"/>
                <w:szCs w:val="20"/>
              </w:rPr>
            </w:pPr>
            <w:r w:rsidRPr="000609D1">
              <w:rPr>
                <w:sz w:val="20"/>
                <w:szCs w:val="20"/>
              </w:rPr>
              <w:t>Crisis and Post-Crisis Planning</w:t>
            </w:r>
          </w:p>
        </w:tc>
        <w:tc>
          <w:tcPr>
            <w:tcW w:w="0" w:type="auto"/>
            <w:hideMark/>
          </w:tcPr>
          <w:p w14:paraId="41113F8E" w14:textId="77777777" w:rsidR="005B47B4" w:rsidRPr="000609D1" w:rsidRDefault="005B47B4">
            <w:pPr>
              <w:spacing w:after="160"/>
              <w:cnfStyle w:val="000000000000" w:firstRow="0" w:lastRow="0" w:firstColumn="0" w:lastColumn="0" w:oddVBand="0" w:evenVBand="0" w:oddHBand="0" w:evenHBand="0" w:firstRowFirstColumn="0" w:firstRowLastColumn="0" w:lastRowFirstColumn="0" w:lastRowLastColumn="0"/>
              <w:rPr>
                <w:sz w:val="20"/>
                <w:szCs w:val="20"/>
              </w:rPr>
            </w:pPr>
            <w:r w:rsidRPr="000609D1">
              <w:rPr>
                <w:sz w:val="20"/>
                <w:szCs w:val="20"/>
              </w:rPr>
              <w:t>States preferences for care and creates a compassionate path for learning, repair, and renewed practice.</w:t>
            </w:r>
          </w:p>
        </w:tc>
      </w:tr>
    </w:tbl>
    <w:p w14:paraId="5C83221A" w14:textId="77777777" w:rsidR="005B47B4" w:rsidRPr="00DC56CC" w:rsidRDefault="005B47B4">
      <w:pPr>
        <w:pStyle w:val="Heading1"/>
        <w:rPr>
          <w:rFonts w:cstheme="minorBidi"/>
          <w:b/>
          <w:bCs/>
        </w:rPr>
      </w:pPr>
      <w:r w:rsidRPr="00DC56CC">
        <w:rPr>
          <w:rFonts w:cstheme="minorBidi"/>
          <w:b/>
          <w:bCs/>
        </w:rPr>
        <w:t>A Simple WRAP-Based Sixth Step Practice</w:t>
      </w:r>
    </w:p>
    <w:p w14:paraId="55AE9039" w14:textId="77777777" w:rsidR="005B47B4" w:rsidRDefault="005B47B4" w:rsidP="005B47B4">
      <w:pPr>
        <w:pStyle w:val="ListParagraph"/>
        <w:numPr>
          <w:ilvl w:val="0"/>
          <w:numId w:val="1"/>
        </w:numPr>
      </w:pPr>
      <w:r w:rsidRPr="005B47B4">
        <w:rPr>
          <w:b/>
          <w:bCs/>
        </w:rPr>
        <w:t>Name one pattern.</w:t>
      </w:r>
      <w:r>
        <w:t xml:space="preserve"> Describe the behavior neutrally and specifically rather than labeling the whole self.</w:t>
      </w:r>
    </w:p>
    <w:p w14:paraId="24DFAD0E" w14:textId="77777777" w:rsidR="005B47B4" w:rsidRDefault="005B47B4" w:rsidP="005B47B4">
      <w:pPr>
        <w:pStyle w:val="ListParagraph"/>
        <w:numPr>
          <w:ilvl w:val="0"/>
          <w:numId w:val="1"/>
        </w:numPr>
      </w:pPr>
      <w:r>
        <w:rPr>
          <w:b/>
          <w:bCs/>
        </w:rPr>
        <w:t>Notice its function.</w:t>
      </w:r>
      <w:r>
        <w:t xml:space="preserve"> Ask what </w:t>
      </w:r>
      <w:proofErr w:type="gramStart"/>
      <w:r>
        <w:t>the pattern</w:t>
      </w:r>
      <w:proofErr w:type="gramEnd"/>
      <w:r>
        <w:t xml:space="preserve"> tries to protect, avoid, control, or obtain.</w:t>
      </w:r>
    </w:p>
    <w:p w14:paraId="33FEBD77" w14:textId="77777777" w:rsidR="005B47B4" w:rsidRDefault="005B47B4" w:rsidP="005B47B4">
      <w:pPr>
        <w:pStyle w:val="ListParagraph"/>
        <w:numPr>
          <w:ilvl w:val="0"/>
          <w:numId w:val="1"/>
        </w:numPr>
      </w:pPr>
      <w:r>
        <w:rPr>
          <w:b/>
          <w:bCs/>
        </w:rPr>
        <w:t>Identify triggers and warning signs.</w:t>
      </w:r>
      <w:r>
        <w:t xml:space="preserve"> Record situations, thoughts, body sensations, and behaviors that commonly come first.</w:t>
      </w:r>
    </w:p>
    <w:p w14:paraId="4EB74DBB" w14:textId="77777777" w:rsidR="005B47B4" w:rsidRDefault="005B47B4" w:rsidP="005B47B4">
      <w:pPr>
        <w:pStyle w:val="ListParagraph"/>
        <w:numPr>
          <w:ilvl w:val="0"/>
          <w:numId w:val="1"/>
        </w:numPr>
      </w:pPr>
      <w:r>
        <w:rPr>
          <w:b/>
          <w:bCs/>
        </w:rPr>
        <w:t>Assess willingness.</w:t>
      </w:r>
      <w:r>
        <w:t xml:space="preserve"> Note what makes change desirable and what makes letting go difficult.</w:t>
      </w:r>
    </w:p>
    <w:p w14:paraId="692DCE0E" w14:textId="77777777" w:rsidR="005B47B4" w:rsidRDefault="005B47B4" w:rsidP="005B47B4">
      <w:pPr>
        <w:pStyle w:val="ListParagraph"/>
        <w:numPr>
          <w:ilvl w:val="0"/>
          <w:numId w:val="1"/>
        </w:numPr>
      </w:pPr>
      <w:r>
        <w:rPr>
          <w:b/>
          <w:bCs/>
        </w:rPr>
        <w:t>Choose replacement tools.</w:t>
      </w:r>
      <w:r>
        <w:t xml:space="preserve"> Select two or three realistic responses from the Wellness Toolbox.</w:t>
      </w:r>
    </w:p>
    <w:p w14:paraId="1D46E819" w14:textId="77777777" w:rsidR="005B47B4" w:rsidRDefault="005B47B4" w:rsidP="005B47B4">
      <w:pPr>
        <w:pStyle w:val="ListParagraph"/>
        <w:numPr>
          <w:ilvl w:val="0"/>
          <w:numId w:val="1"/>
        </w:numPr>
      </w:pPr>
      <w:r>
        <w:rPr>
          <w:b/>
          <w:bCs/>
        </w:rPr>
        <w:t>Invite support.</w:t>
      </w:r>
      <w:r>
        <w:t xml:space="preserve"> Decide whom to contact and what help to request.</w:t>
      </w:r>
    </w:p>
    <w:p w14:paraId="4442C7F8" w14:textId="77777777" w:rsidR="005B47B4" w:rsidRDefault="005B47B4" w:rsidP="005B47B4">
      <w:pPr>
        <w:pStyle w:val="ListParagraph"/>
        <w:numPr>
          <w:ilvl w:val="0"/>
          <w:numId w:val="1"/>
        </w:numPr>
      </w:pPr>
      <w:r>
        <w:rPr>
          <w:b/>
          <w:bCs/>
        </w:rPr>
        <w:t>Review with compassion.</w:t>
      </w:r>
      <w:r>
        <w:t xml:space="preserve"> After a difficult moment, record what helped, what did not, and what to adjust.</w:t>
      </w:r>
    </w:p>
    <w:p w14:paraId="4E0689E0" w14:textId="77777777" w:rsidR="005B47B4" w:rsidRDefault="005B47B4">
      <w:pPr>
        <w:pStyle w:val="Heading2"/>
        <w:rPr>
          <w:rFonts w:cstheme="minorBidi"/>
        </w:rPr>
      </w:pPr>
      <w:r>
        <w:rPr>
          <w:rFonts w:cstheme="minorBidi"/>
        </w:rPr>
        <w:t>Illustrative Example</w:t>
      </w:r>
    </w:p>
    <w:p w14:paraId="788E6A1E" w14:textId="77777777" w:rsidR="005B47B4" w:rsidRDefault="005B47B4">
      <w:r>
        <w:rPr>
          <w:b/>
          <w:bCs/>
        </w:rPr>
        <w:t>Pattern:</w:t>
      </w:r>
      <w:r>
        <w:t xml:space="preserve"> reacting defensively when corrected. </w:t>
      </w:r>
      <w:r>
        <w:rPr>
          <w:b/>
          <w:bCs/>
        </w:rPr>
        <w:t>Trigger:</w:t>
      </w:r>
      <w:r>
        <w:t xml:space="preserve"> receiving unexpected feedback. </w:t>
      </w:r>
      <w:r>
        <w:rPr>
          <w:b/>
          <w:bCs/>
        </w:rPr>
        <w:t>Early warning signs:</w:t>
      </w:r>
      <w:r>
        <w:t xml:space="preserve"> tightness in the body, rehearsing an argument, or interrupting. </w:t>
      </w:r>
      <w:r>
        <w:rPr>
          <w:b/>
          <w:bCs/>
        </w:rPr>
        <w:t>Wellness tools:</w:t>
      </w:r>
      <w:r>
        <w:t xml:space="preserve"> pause, breathe, ask one clarifying question, write down the feedback, and discuss the reaction with a sponsor or trusted support person before responding further. </w:t>
      </w:r>
      <w:r>
        <w:rPr>
          <w:b/>
          <w:bCs/>
        </w:rPr>
        <w:t>Measure of progress:</w:t>
      </w:r>
      <w:r>
        <w:t xml:space="preserve"> listening for longer, responding less sharply, and repairing quickly when necessary.</w:t>
      </w:r>
    </w:p>
    <w:p w14:paraId="0E9CFD70" w14:textId="77777777" w:rsidR="005B47B4" w:rsidRPr="00422441" w:rsidRDefault="005B47B4">
      <w:pPr>
        <w:pStyle w:val="Heading1"/>
        <w:rPr>
          <w:rFonts w:cstheme="minorBidi"/>
          <w:b/>
          <w:bCs/>
        </w:rPr>
      </w:pPr>
      <w:r w:rsidRPr="00422441">
        <w:rPr>
          <w:rFonts w:cstheme="minorBidi"/>
          <w:b/>
          <w:bCs/>
        </w:rPr>
        <w:lastRenderedPageBreak/>
        <w:t>Reflection Questions</w:t>
      </w:r>
    </w:p>
    <w:p w14:paraId="7186CE7A" w14:textId="77777777" w:rsidR="005B47B4" w:rsidRDefault="005B47B4" w:rsidP="005B47B4">
      <w:pPr>
        <w:pStyle w:val="ListParagraph"/>
        <w:numPr>
          <w:ilvl w:val="0"/>
          <w:numId w:val="2"/>
        </w:numPr>
      </w:pPr>
      <w:r>
        <w:t>Which recurring pattern most interferes with my wellbeing or relationships?</w:t>
      </w:r>
    </w:p>
    <w:p w14:paraId="5BAC1A2D" w14:textId="77777777" w:rsidR="005B47B4" w:rsidRDefault="005B47B4" w:rsidP="005B47B4">
      <w:pPr>
        <w:pStyle w:val="ListParagraph"/>
        <w:numPr>
          <w:ilvl w:val="0"/>
          <w:numId w:val="2"/>
        </w:numPr>
      </w:pPr>
      <w:r>
        <w:t>How has this pattern tried to protect or serve me in the past?</w:t>
      </w:r>
    </w:p>
    <w:p w14:paraId="747513ED" w14:textId="77777777" w:rsidR="005B47B4" w:rsidRDefault="005B47B4" w:rsidP="005B47B4">
      <w:pPr>
        <w:pStyle w:val="ListParagraph"/>
        <w:numPr>
          <w:ilvl w:val="0"/>
          <w:numId w:val="2"/>
        </w:numPr>
      </w:pPr>
      <w:r>
        <w:t>What costs does it create now?</w:t>
      </w:r>
    </w:p>
    <w:p w14:paraId="4A8A544C" w14:textId="77777777" w:rsidR="005B47B4" w:rsidRDefault="005B47B4" w:rsidP="005B47B4">
      <w:pPr>
        <w:pStyle w:val="ListParagraph"/>
        <w:numPr>
          <w:ilvl w:val="0"/>
          <w:numId w:val="2"/>
        </w:numPr>
      </w:pPr>
      <w:r>
        <w:t>What tells me that I am becoming ready to respond differently?</w:t>
      </w:r>
    </w:p>
    <w:p w14:paraId="37D0C259" w14:textId="77777777" w:rsidR="005B47B4" w:rsidRDefault="005B47B4" w:rsidP="005B47B4">
      <w:pPr>
        <w:pStyle w:val="ListParagraph"/>
        <w:numPr>
          <w:ilvl w:val="0"/>
          <w:numId w:val="2"/>
        </w:numPr>
      </w:pPr>
      <w:r>
        <w:t>Which tools help me pause, become grounded, and act according to my values?</w:t>
      </w:r>
    </w:p>
    <w:p w14:paraId="5EBCA8E5" w14:textId="77777777" w:rsidR="005B47B4" w:rsidRDefault="005B47B4" w:rsidP="005B47B4">
      <w:pPr>
        <w:pStyle w:val="ListParagraph"/>
        <w:numPr>
          <w:ilvl w:val="0"/>
          <w:numId w:val="2"/>
        </w:numPr>
      </w:pPr>
      <w:r>
        <w:t>Who can support me without taking over my choices?</w:t>
      </w:r>
    </w:p>
    <w:p w14:paraId="06A84DDC" w14:textId="77777777" w:rsidR="005B47B4" w:rsidRDefault="005B47B4" w:rsidP="005B47B4">
      <w:pPr>
        <w:pStyle w:val="ListParagraph"/>
        <w:numPr>
          <w:ilvl w:val="0"/>
          <w:numId w:val="2"/>
        </w:numPr>
      </w:pPr>
      <w:r>
        <w:t>What would realistic progress look like this week?</w:t>
      </w:r>
    </w:p>
    <w:p w14:paraId="530ACBFD" w14:textId="77777777" w:rsidR="005B47B4" w:rsidRPr="00422441" w:rsidRDefault="005B47B4">
      <w:pPr>
        <w:pStyle w:val="Heading1"/>
        <w:rPr>
          <w:rFonts w:cstheme="minorBidi"/>
          <w:b/>
          <w:bCs/>
        </w:rPr>
      </w:pPr>
      <w:r w:rsidRPr="00422441">
        <w:rPr>
          <w:rFonts w:cstheme="minorBidi"/>
          <w:b/>
          <w:bCs/>
        </w:rPr>
        <w:t>Conclusion</w:t>
      </w:r>
    </w:p>
    <w:p w14:paraId="5E90F041" w14:textId="0B51B31C" w:rsidR="005B47B4" w:rsidRDefault="005B47B4" w:rsidP="00422441">
      <w:pPr>
        <w:jc w:val="both"/>
      </w:pPr>
      <w:r>
        <w:t>WRAP can help translate the Sixth Step from an abstract intention into a daily practice of awareness, willingness, support, and choice. By identifying patterns early, preparing healthy alternatives, and reviewing progress without shame, an individual can approach change with honesty and hope. The process supports responsibility while recognizing that recovery is strengthened by connection, flexibility, and repeated practice.</w:t>
      </w:r>
      <w:r w:rsidR="00BD4BFF">
        <w:t xml:space="preserve"> (Cook et al., 2012)</w:t>
      </w:r>
    </w:p>
    <w:p w14:paraId="7F0D3642" w14:textId="77777777" w:rsidR="005B47B4" w:rsidRDefault="005B47B4">
      <w:pPr>
        <w:pStyle w:val="Quote"/>
      </w:pPr>
      <w:r>
        <w:t>This educational guide is not a substitute for professional mental health, substance-use, or medical care. A WRAP plan should reflect the individual’s own preferences, values, supports, and recovery community.</w:t>
      </w:r>
    </w:p>
    <w:p w14:paraId="43907AA3" w14:textId="77777777" w:rsidR="00BD4BFF" w:rsidRPr="00422441" w:rsidRDefault="00BD4BFF" w:rsidP="00BD4BFF">
      <w:pPr>
        <w:pStyle w:val="Heading1"/>
        <w:rPr>
          <w:b/>
          <w:bCs/>
        </w:rPr>
      </w:pPr>
      <w:r w:rsidRPr="00422441">
        <w:rPr>
          <w:b/>
          <w:bCs/>
        </w:rPr>
        <w:t>References</w:t>
      </w:r>
    </w:p>
    <w:p w14:paraId="12D500EE" w14:textId="77777777" w:rsidR="00BD4BFF" w:rsidRPr="00BD4BFF" w:rsidRDefault="00BD4BFF" w:rsidP="00BD4BFF">
      <w:pPr>
        <w:ind w:left="720" w:hanging="720"/>
      </w:pPr>
      <w:r w:rsidRPr="00BD4BFF">
        <w:t xml:space="preserve">Alcoholics Anonymous World Services, Inc. (1952). Step six. In </w:t>
      </w:r>
      <w:r w:rsidRPr="00BD4BFF">
        <w:rPr>
          <w:i/>
        </w:rPr>
        <w:t>Twelve steps and twelve traditions</w:t>
      </w:r>
      <w:r w:rsidRPr="00BD4BFF">
        <w:t xml:space="preserve"> (pp. 63–69). https://www.aa.org/sites/default/files/2022-01/en_step6.pdf</w:t>
      </w:r>
    </w:p>
    <w:p w14:paraId="120CE393" w14:textId="77777777" w:rsidR="00BD4BFF" w:rsidRPr="00BD4BFF" w:rsidRDefault="00BD4BFF" w:rsidP="00BD4BFF">
      <w:pPr>
        <w:ind w:left="720" w:hanging="720"/>
      </w:pPr>
      <w:r w:rsidRPr="00BD4BFF">
        <w:t xml:space="preserve">Copeland, M. E. (2015, May 22). </w:t>
      </w:r>
      <w:r w:rsidRPr="00BD4BFF">
        <w:rPr>
          <w:i/>
        </w:rPr>
        <w:t>WRAP overview</w:t>
      </w:r>
      <w:r w:rsidRPr="00BD4BFF">
        <w:t>. Wellness Recovery Action Plan. https://www.wellnessrecoveryactionplan.com/wrap-overview/</w:t>
      </w:r>
    </w:p>
    <w:p w14:paraId="6EAEE4C5" w14:textId="77777777" w:rsidR="00BD4BFF" w:rsidRPr="00BD4BFF" w:rsidRDefault="00BD4BFF" w:rsidP="00BD4BFF">
      <w:pPr>
        <w:ind w:left="720" w:hanging="720"/>
      </w:pPr>
      <w:r w:rsidRPr="00BD4BFF">
        <w:t xml:space="preserve">Cook, J. A., Copeland, M. E., Floyd, C. B., </w:t>
      </w:r>
      <w:proofErr w:type="spellStart"/>
      <w:r w:rsidRPr="00BD4BFF">
        <w:t>Jonikas</w:t>
      </w:r>
      <w:proofErr w:type="spellEnd"/>
      <w:r w:rsidRPr="00BD4BFF">
        <w:t xml:space="preserve">, J. A., Hamilton, M. M., Razzano, L., Carter, T. M., Hudson, W. B., Grey, D. D., &amp; Boyd, S. (2012). A randomized controlled trial of effects of Wellness Recovery Action Planning on depression, anxiety, and recovery. </w:t>
      </w:r>
      <w:r w:rsidRPr="00BD4BFF">
        <w:rPr>
          <w:i/>
        </w:rPr>
        <w:t>Psychiatric Services</w:t>
      </w:r>
      <w:r w:rsidRPr="00BD4BFF">
        <w:t xml:space="preserve">, </w:t>
      </w:r>
      <w:r w:rsidRPr="00BD4BFF">
        <w:rPr>
          <w:i/>
        </w:rPr>
        <w:t>63</w:t>
      </w:r>
      <w:r w:rsidRPr="00BD4BFF">
        <w:t>(6), 541–547. https://doi.org/10.1176/appi.ps.201100125</w:t>
      </w:r>
    </w:p>
    <w:p w14:paraId="450F8EE3" w14:textId="1CE740D5" w:rsidR="00D3592E" w:rsidRDefault="00D3592E"/>
    <w:sectPr w:rsidR="00D3592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1E68F3" w14:textId="77777777" w:rsidR="00633B74" w:rsidRDefault="00633B74" w:rsidP="00DC56CC">
      <w:pPr>
        <w:spacing w:after="0" w:line="240" w:lineRule="auto"/>
      </w:pPr>
      <w:r>
        <w:separator/>
      </w:r>
    </w:p>
  </w:endnote>
  <w:endnote w:type="continuationSeparator" w:id="0">
    <w:p w14:paraId="2AEFA79B" w14:textId="77777777" w:rsidR="00633B74" w:rsidRDefault="00633B74" w:rsidP="00DC56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D01355" w14:textId="77777777" w:rsidR="00633B74" w:rsidRDefault="00633B74" w:rsidP="00DC56CC">
      <w:pPr>
        <w:spacing w:after="0" w:line="240" w:lineRule="auto"/>
      </w:pPr>
      <w:r>
        <w:separator/>
      </w:r>
    </w:p>
  </w:footnote>
  <w:footnote w:type="continuationSeparator" w:id="0">
    <w:p w14:paraId="7146E541" w14:textId="77777777" w:rsidR="00633B74" w:rsidRDefault="00633B74" w:rsidP="00DC56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9590942"/>
      <w:docPartObj>
        <w:docPartGallery w:val="Page Numbers (Top of Page)"/>
        <w:docPartUnique/>
      </w:docPartObj>
    </w:sdtPr>
    <w:sdtEndPr>
      <w:rPr>
        <w:noProof/>
      </w:rPr>
    </w:sdtEndPr>
    <w:sdtContent>
      <w:p w14:paraId="1807CF4E" w14:textId="033A9511" w:rsidR="00DC56CC" w:rsidRDefault="00DC56CC">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5D383A9" w14:textId="77777777" w:rsidR="00DC56CC" w:rsidRDefault="00DC56C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B74BA"/>
    <w:multiLevelType w:val="multilevel"/>
    <w:tmpl w:val="ACEE91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C354B1B"/>
    <w:multiLevelType w:val="multilevel"/>
    <w:tmpl w:val="FE4EA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63439382">
    <w:abstractNumId w:val="0"/>
  </w:num>
  <w:num w:numId="2" w16cid:durableId="12849196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92E"/>
    <w:rsid w:val="000609D1"/>
    <w:rsid w:val="0010414D"/>
    <w:rsid w:val="003977C9"/>
    <w:rsid w:val="003E6CFD"/>
    <w:rsid w:val="0040090C"/>
    <w:rsid w:val="00422441"/>
    <w:rsid w:val="004401C2"/>
    <w:rsid w:val="00551F78"/>
    <w:rsid w:val="005B47B4"/>
    <w:rsid w:val="00633B74"/>
    <w:rsid w:val="006968EC"/>
    <w:rsid w:val="007033C8"/>
    <w:rsid w:val="008854EF"/>
    <w:rsid w:val="00A4146D"/>
    <w:rsid w:val="00B81D39"/>
    <w:rsid w:val="00BD4BFF"/>
    <w:rsid w:val="00CE173D"/>
    <w:rsid w:val="00D3592E"/>
    <w:rsid w:val="00DC56CC"/>
    <w:rsid w:val="00E919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CF16BB"/>
  <w15:chartTrackingRefBased/>
  <w15:docId w15:val="{B6F77969-C960-44AA-81F3-6F70321F1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359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359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3592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592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592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592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592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592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592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592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3592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3592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592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592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59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59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59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592E"/>
    <w:rPr>
      <w:rFonts w:eastAsiaTheme="majorEastAsia" w:cstheme="majorBidi"/>
      <w:color w:val="272727" w:themeColor="text1" w:themeTint="D8"/>
    </w:rPr>
  </w:style>
  <w:style w:type="paragraph" w:styleId="Title">
    <w:name w:val="Title"/>
    <w:basedOn w:val="Normal"/>
    <w:next w:val="Normal"/>
    <w:link w:val="TitleChar"/>
    <w:uiPriority w:val="10"/>
    <w:qFormat/>
    <w:rsid w:val="00D359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59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592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59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592E"/>
    <w:pPr>
      <w:spacing w:before="160"/>
      <w:jc w:val="center"/>
    </w:pPr>
    <w:rPr>
      <w:i/>
      <w:iCs/>
      <w:color w:val="404040" w:themeColor="text1" w:themeTint="BF"/>
    </w:rPr>
  </w:style>
  <w:style w:type="character" w:customStyle="1" w:styleId="QuoteChar">
    <w:name w:val="Quote Char"/>
    <w:basedOn w:val="DefaultParagraphFont"/>
    <w:link w:val="Quote"/>
    <w:uiPriority w:val="29"/>
    <w:rsid w:val="00D3592E"/>
    <w:rPr>
      <w:i/>
      <w:iCs/>
      <w:color w:val="404040" w:themeColor="text1" w:themeTint="BF"/>
    </w:rPr>
  </w:style>
  <w:style w:type="paragraph" w:styleId="ListParagraph">
    <w:name w:val="List Paragraph"/>
    <w:basedOn w:val="Normal"/>
    <w:uiPriority w:val="34"/>
    <w:qFormat/>
    <w:rsid w:val="00D3592E"/>
    <w:pPr>
      <w:ind w:left="720"/>
      <w:contextualSpacing/>
    </w:pPr>
  </w:style>
  <w:style w:type="character" w:styleId="IntenseEmphasis">
    <w:name w:val="Intense Emphasis"/>
    <w:basedOn w:val="DefaultParagraphFont"/>
    <w:uiPriority w:val="21"/>
    <w:qFormat/>
    <w:rsid w:val="00D3592E"/>
    <w:rPr>
      <w:i/>
      <w:iCs/>
      <w:color w:val="0F4761" w:themeColor="accent1" w:themeShade="BF"/>
    </w:rPr>
  </w:style>
  <w:style w:type="paragraph" w:styleId="IntenseQuote">
    <w:name w:val="Intense Quote"/>
    <w:basedOn w:val="Normal"/>
    <w:next w:val="Normal"/>
    <w:link w:val="IntenseQuoteChar"/>
    <w:uiPriority w:val="30"/>
    <w:qFormat/>
    <w:rsid w:val="00D359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592E"/>
    <w:rPr>
      <w:i/>
      <w:iCs/>
      <w:color w:val="0F4761" w:themeColor="accent1" w:themeShade="BF"/>
    </w:rPr>
  </w:style>
  <w:style w:type="character" w:styleId="IntenseReference">
    <w:name w:val="Intense Reference"/>
    <w:basedOn w:val="DefaultParagraphFont"/>
    <w:uiPriority w:val="32"/>
    <w:qFormat/>
    <w:rsid w:val="00D3592E"/>
    <w:rPr>
      <w:b/>
      <w:bCs/>
      <w:smallCaps/>
      <w:color w:val="0F4761" w:themeColor="accent1" w:themeShade="BF"/>
      <w:spacing w:val="5"/>
    </w:rPr>
  </w:style>
  <w:style w:type="character" w:styleId="BookTitle">
    <w:name w:val="Book Title"/>
    <w:basedOn w:val="DefaultParagraphFont"/>
    <w:uiPriority w:val="33"/>
    <w:qFormat/>
    <w:rsid w:val="00D3592E"/>
    <w:rPr>
      <w:b/>
      <w:bCs/>
      <w:i/>
      <w:iCs/>
      <w:spacing w:val="5"/>
    </w:rPr>
  </w:style>
  <w:style w:type="paragraph" w:styleId="Caption">
    <w:name w:val="caption"/>
    <w:basedOn w:val="Normal"/>
    <w:next w:val="Normal"/>
    <w:uiPriority w:val="35"/>
    <w:semiHidden/>
    <w:unhideWhenUsed/>
    <w:qFormat/>
    <w:rsid w:val="00D3592E"/>
    <w:pPr>
      <w:spacing w:after="200" w:line="240" w:lineRule="auto"/>
    </w:pPr>
    <w:rPr>
      <w:i/>
      <w:iCs/>
      <w:color w:val="0E2841" w:themeColor="text2"/>
      <w:sz w:val="18"/>
      <w:szCs w:val="18"/>
    </w:rPr>
  </w:style>
  <w:style w:type="character" w:styleId="Emphasis">
    <w:name w:val="Emphasis"/>
    <w:basedOn w:val="DefaultParagraphFont"/>
    <w:uiPriority w:val="20"/>
    <w:qFormat/>
    <w:rsid w:val="00D3592E"/>
    <w:rPr>
      <w:i/>
      <w:iCs/>
    </w:rPr>
  </w:style>
  <w:style w:type="paragraph" w:styleId="NoSpacing">
    <w:name w:val="No Spacing"/>
    <w:uiPriority w:val="1"/>
    <w:qFormat/>
    <w:rsid w:val="00D3592E"/>
    <w:pPr>
      <w:spacing w:after="0" w:line="240" w:lineRule="auto"/>
    </w:pPr>
  </w:style>
  <w:style w:type="character" w:styleId="Strong">
    <w:name w:val="Strong"/>
    <w:basedOn w:val="DefaultParagraphFont"/>
    <w:uiPriority w:val="22"/>
    <w:qFormat/>
    <w:rsid w:val="00D3592E"/>
    <w:rPr>
      <w:b/>
      <w:bCs/>
    </w:rPr>
  </w:style>
  <w:style w:type="character" w:styleId="SubtleEmphasis">
    <w:name w:val="Subtle Emphasis"/>
    <w:basedOn w:val="DefaultParagraphFont"/>
    <w:uiPriority w:val="19"/>
    <w:qFormat/>
    <w:rsid w:val="00D3592E"/>
    <w:rPr>
      <w:i/>
      <w:iCs/>
      <w:color w:val="404040" w:themeColor="text1" w:themeTint="BF"/>
    </w:rPr>
  </w:style>
  <w:style w:type="character" w:styleId="SubtleReference">
    <w:name w:val="Subtle Reference"/>
    <w:basedOn w:val="DefaultParagraphFont"/>
    <w:uiPriority w:val="31"/>
    <w:qFormat/>
    <w:rsid w:val="00D3592E"/>
    <w:rPr>
      <w:smallCaps/>
      <w:color w:val="5A5A5A" w:themeColor="text1" w:themeTint="A5"/>
    </w:rPr>
  </w:style>
  <w:style w:type="paragraph" w:styleId="TOCHeading">
    <w:name w:val="TOC Heading"/>
    <w:basedOn w:val="Heading1"/>
    <w:next w:val="Normal"/>
    <w:uiPriority w:val="39"/>
    <w:semiHidden/>
    <w:unhideWhenUsed/>
    <w:qFormat/>
    <w:rsid w:val="00D3592E"/>
    <w:pPr>
      <w:spacing w:before="240" w:after="0"/>
      <w:outlineLvl w:val="9"/>
    </w:pPr>
    <w:rPr>
      <w:sz w:val="32"/>
      <w:szCs w:val="32"/>
    </w:rPr>
  </w:style>
  <w:style w:type="paragraph" w:styleId="NormalWeb">
    <w:name w:val="Normal (Web)"/>
    <w:basedOn w:val="Normal"/>
    <w:uiPriority w:val="99"/>
    <w:semiHidden/>
    <w:unhideWhenUsed/>
    <w:rsid w:val="00D3592E"/>
    <w:pPr>
      <w:spacing w:before="100" w:beforeAutospacing="1" w:after="100" w:afterAutospacing="1" w:line="240" w:lineRule="auto"/>
    </w:pPr>
    <w:rPr>
      <w:rFonts w:ascii="Times New Roman" w:hAnsi="Times New Roman" w:cs="Times New Roman"/>
    </w:rPr>
  </w:style>
  <w:style w:type="table" w:styleId="GridTable4-Accent1">
    <w:name w:val="Grid Table 4 Accent 1"/>
    <w:basedOn w:val="TableNormal"/>
    <w:uiPriority w:val="49"/>
    <w:rsid w:val="005B47B4"/>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Header">
    <w:name w:val="header"/>
    <w:basedOn w:val="Normal"/>
    <w:link w:val="HeaderChar"/>
    <w:uiPriority w:val="99"/>
    <w:unhideWhenUsed/>
    <w:rsid w:val="00DC56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56CC"/>
  </w:style>
  <w:style w:type="paragraph" w:styleId="Footer">
    <w:name w:val="footer"/>
    <w:basedOn w:val="Normal"/>
    <w:link w:val="FooterChar"/>
    <w:uiPriority w:val="99"/>
    <w:unhideWhenUsed/>
    <w:rsid w:val="00DC56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56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43</TotalTime>
  <Pages>4</Pages>
  <Words>1120</Words>
  <Characters>6385</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WRAP of DC</dc:creator>
  <cp:keywords/>
  <dc:description/>
  <cp:lastModifiedBy>WRAP of DC</cp:lastModifiedBy>
  <cp:revision>14</cp:revision>
  <dcterms:created xsi:type="dcterms:W3CDTF">2026-09-26T21:25:00Z</dcterms:created>
  <dcterms:modified xsi:type="dcterms:W3CDTF">2026-10-01T19:28:00Z</dcterms:modified>
</cp:coreProperties>
</file>