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56F45" w14:textId="77777777" w:rsidR="00A82F06" w:rsidRDefault="00540720">
      <w:pPr>
        <w:pStyle w:val="Title"/>
        <w:rPr>
          <w:b/>
          <w:bCs/>
          <w:sz w:val="48"/>
          <w:szCs w:val="48"/>
        </w:rPr>
      </w:pPr>
      <w:r w:rsidRPr="00A82F06">
        <w:rPr>
          <w:b/>
          <w:bCs/>
          <w:sz w:val="48"/>
          <w:szCs w:val="48"/>
        </w:rPr>
        <w:t xml:space="preserve">How a </w:t>
      </w:r>
      <w:r w:rsidRPr="00A82F06">
        <w:rPr>
          <w:b/>
          <w:bCs/>
          <w:color w:val="C00000"/>
          <w:sz w:val="48"/>
          <w:szCs w:val="48"/>
        </w:rPr>
        <w:t>Wellness Recovery Action Plan (WRAP)</w:t>
      </w:r>
      <w:r w:rsidRPr="00A82F06">
        <w:rPr>
          <w:b/>
          <w:bCs/>
          <w:sz w:val="48"/>
          <w:szCs w:val="48"/>
        </w:rPr>
        <w:t xml:space="preserve"> Can Benefit an Individual Practicing the </w:t>
      </w:r>
    </w:p>
    <w:p w14:paraId="78B9BF8E" w14:textId="1BDF4FCF" w:rsidR="00F43ADD" w:rsidRPr="00A82F06" w:rsidRDefault="00540720">
      <w:pPr>
        <w:pStyle w:val="Title"/>
        <w:rPr>
          <w:b/>
          <w:bCs/>
          <w:sz w:val="48"/>
          <w:szCs w:val="48"/>
        </w:rPr>
      </w:pPr>
      <w:r w:rsidRPr="00A82F06">
        <w:rPr>
          <w:b/>
          <w:bCs/>
          <w:color w:val="C00000"/>
          <w:sz w:val="48"/>
          <w:szCs w:val="48"/>
        </w:rPr>
        <w:t>Twelfth Step</w:t>
      </w:r>
    </w:p>
    <w:p w14:paraId="5E03F8F6" w14:textId="77777777" w:rsidR="00540720" w:rsidRPr="0073012D" w:rsidRDefault="00540720">
      <w:pPr>
        <w:pStyle w:val="Subtitle"/>
        <w:rPr>
          <w:b/>
          <w:bCs/>
          <w:color w:val="002060"/>
        </w:rPr>
      </w:pPr>
      <w:r w:rsidRPr="0073012D">
        <w:rPr>
          <w:b/>
          <w:bCs/>
          <w:color w:val="002060"/>
        </w:rPr>
        <w:t>A practical framework for sustaining personal wellness while carrying a message of recovery through service and daily living</w:t>
      </w:r>
    </w:p>
    <w:p w14:paraId="166DBD96" w14:textId="77777777" w:rsidR="00540720" w:rsidRPr="00A82F06" w:rsidRDefault="00540720">
      <w:pPr>
        <w:pStyle w:val="Heading1"/>
        <w:divId w:val="1075055785"/>
        <w:rPr>
          <w:rFonts w:asciiTheme="minorHAnsi" w:hAnsiTheme="minorHAnsi" w:cstheme="minorBidi"/>
          <w:b/>
          <w:bCs/>
        </w:rPr>
      </w:pPr>
      <w:r w:rsidRPr="00A82F06">
        <w:rPr>
          <w:rFonts w:asciiTheme="minorHAnsi" w:hAnsiTheme="minorHAnsi" w:cstheme="minorBidi"/>
          <w:b/>
          <w:bCs/>
        </w:rPr>
        <w:t>Introduction</w:t>
      </w:r>
    </w:p>
    <w:p w14:paraId="0B0EDB64" w14:textId="7D351F2A" w:rsidR="00540720" w:rsidRDefault="00540720" w:rsidP="00540720">
      <w:pPr>
        <w:jc w:val="both"/>
        <w:divId w:val="1075055785"/>
        <w:rPr>
          <w:rFonts w:ascii="Aptos" w:hAnsi="Aptos" w:cs="Times New Roman"/>
        </w:rPr>
      </w:pPr>
      <w:r>
        <w:t xml:space="preserve">The Twelfth Step invites a person in recovery to </w:t>
      </w:r>
      <w:r w:rsidRPr="00540720">
        <w:rPr>
          <w:b/>
          <w:bCs/>
          <w:color w:val="C00000"/>
        </w:rPr>
        <w:t>carry the message to others and to practice recovery principles in all areas of life</w:t>
      </w:r>
      <w:r>
        <w:t>. A Wellness Recovery Action Plan (WRAP) can support that commitment by helping the individual recognize what keeps them well, notice early signs of difficulty, respond intentionally, and identify the support they may need. Used together, WRAP and the Twelfth Step can encourage service that is grounded, sustainable, and consistent with personal recovery</w:t>
      </w:r>
      <w:r w:rsidR="009965BB">
        <w:t xml:space="preserve">    </w:t>
      </w:r>
    </w:p>
    <w:p w14:paraId="54035222" w14:textId="77777777" w:rsidR="00540720" w:rsidRDefault="00540720" w:rsidP="00540720">
      <w:pPr>
        <w:jc w:val="both"/>
        <w:divId w:val="1075055785"/>
      </w:pPr>
      <w:r>
        <w:t xml:space="preserve">WRAP is a self-directed wellness process rather than a substitute for a sponsor, peer support, mutual-aid participation, medical care, therapy, or crisis services. Each person can adapt the plan to their own beliefs, </w:t>
      </w:r>
      <w:proofErr w:type="gramStart"/>
      <w:r>
        <w:t>recovery</w:t>
      </w:r>
      <w:proofErr w:type="gramEnd"/>
      <w:r>
        <w:t xml:space="preserve"> community, health needs, and lived experience.</w:t>
      </w:r>
    </w:p>
    <w:p w14:paraId="600C884D" w14:textId="77777777" w:rsidR="00540720" w:rsidRPr="00FD2040" w:rsidRDefault="00540720">
      <w:pPr>
        <w:pStyle w:val="Heading1"/>
        <w:divId w:val="1079791514"/>
        <w:rPr>
          <w:rFonts w:asciiTheme="minorHAnsi" w:hAnsiTheme="minorHAnsi" w:cstheme="minorBidi"/>
          <w:b/>
          <w:bCs/>
        </w:rPr>
      </w:pPr>
      <w:r w:rsidRPr="00FD2040">
        <w:rPr>
          <w:rFonts w:asciiTheme="minorHAnsi" w:hAnsiTheme="minorHAnsi" w:cstheme="minorBidi"/>
          <w:b/>
          <w:bCs/>
        </w:rPr>
        <w:t>Connecting WRAP with the Twelfth Step</w:t>
      </w:r>
    </w:p>
    <w:p w14:paraId="5BD5D39A" w14:textId="1CCDAA7C" w:rsidR="00540720" w:rsidRDefault="00540720">
      <w:pPr>
        <w:divId w:val="1079791514"/>
        <w:rPr>
          <w:rFonts w:ascii="Aptos" w:hAnsi="Aptos" w:cs="Times New Roman"/>
        </w:rPr>
      </w:pPr>
      <w:r>
        <w:t>The Twelfth Step has two closely related dimensions: helping others who seek recovery and practicing recovery principles throughout daily life. WRAP strengthens both dimensions by turning broad intentions into observable habits and planned responses (Alcoholics Anonymous World Services, n.d.).</w:t>
      </w:r>
    </w:p>
    <w:p w14:paraId="3523AEC9" w14:textId="77777777" w:rsidR="00540720" w:rsidRDefault="00540720">
      <w:pPr>
        <w:pStyle w:val="Heading2"/>
        <w:divId w:val="1079791514"/>
        <w:rPr>
          <w:rFonts w:asciiTheme="minorHAnsi" w:hAnsiTheme="minorHAnsi" w:cstheme="minorBidi"/>
        </w:rPr>
      </w:pPr>
      <w:r>
        <w:rPr>
          <w:rFonts w:asciiTheme="minorHAnsi" w:hAnsiTheme="minorHAnsi" w:cstheme="minorBidi"/>
        </w:rPr>
        <w:t>Service begins with personal stability</w:t>
      </w:r>
    </w:p>
    <w:p w14:paraId="34F527D1" w14:textId="77777777" w:rsidR="00540720" w:rsidRDefault="00540720" w:rsidP="00540720">
      <w:pPr>
        <w:jc w:val="both"/>
        <w:divId w:val="1079791514"/>
        <w:rPr>
          <w:rFonts w:ascii="Aptos" w:hAnsi="Aptos" w:cs="Times New Roman"/>
        </w:rPr>
      </w:pPr>
      <w:r>
        <w:t>Helping others can be meaningful, but it can also require time, attention, and emotional energy. A WRAP wellness toolbox reminds the individual of the practices that support their own stability—such as meetings, prayer or meditation, sleep, movement, journaling, recreation, medication as prescribed, and contact with trusted people. Maintaining these supports can reduce the risk of neglecting personal recovery while serving others.</w:t>
      </w:r>
    </w:p>
    <w:p w14:paraId="3C054BC0" w14:textId="77777777" w:rsidR="00540720" w:rsidRDefault="00540720">
      <w:pPr>
        <w:pStyle w:val="Heading2"/>
        <w:divId w:val="1079791514"/>
        <w:rPr>
          <w:rFonts w:asciiTheme="minorHAnsi" w:hAnsiTheme="minorHAnsi" w:cstheme="minorBidi"/>
        </w:rPr>
      </w:pPr>
      <w:r>
        <w:rPr>
          <w:rFonts w:asciiTheme="minorHAnsi" w:hAnsiTheme="minorHAnsi" w:cstheme="minorBidi"/>
        </w:rPr>
        <w:t>Principles become daily practices</w:t>
      </w:r>
    </w:p>
    <w:p w14:paraId="3237E1E3" w14:textId="77777777" w:rsidR="00540720" w:rsidRDefault="00540720" w:rsidP="00A82F06">
      <w:pPr>
        <w:jc w:val="both"/>
        <w:divId w:val="1079791514"/>
        <w:rPr>
          <w:rFonts w:ascii="Aptos" w:hAnsi="Aptos" w:cs="Times New Roman"/>
        </w:rPr>
      </w:pPr>
      <w:r>
        <w:t xml:space="preserve">Values associated with recovery—honesty, humility, responsibility, compassion, willingness, and accountability—can be reflected in a daily maintenance plan. Instead of </w:t>
      </w:r>
      <w:r>
        <w:lastRenderedPageBreak/>
        <w:t>treating these principles only as ideals, the individual identifies specific actions that demonstrate them in ordinary situations.</w:t>
      </w:r>
    </w:p>
    <w:p w14:paraId="0AD35ECC" w14:textId="77777777" w:rsidR="00540720" w:rsidRPr="00FD2040" w:rsidRDefault="00540720">
      <w:pPr>
        <w:pStyle w:val="Heading1"/>
        <w:divId w:val="1685279250"/>
        <w:rPr>
          <w:rFonts w:asciiTheme="minorHAnsi" w:hAnsiTheme="minorHAnsi" w:cstheme="minorBidi"/>
          <w:b/>
          <w:bCs/>
        </w:rPr>
      </w:pPr>
      <w:r w:rsidRPr="00FD2040">
        <w:rPr>
          <w:rFonts w:asciiTheme="minorHAnsi" w:hAnsiTheme="minorHAnsi" w:cstheme="minorBidi"/>
          <w:b/>
          <w:bCs/>
        </w:rPr>
        <w:t>Key Benefits</w:t>
      </w:r>
    </w:p>
    <w:p w14:paraId="69E86789" w14:textId="77777777" w:rsidR="00540720" w:rsidRDefault="00540720">
      <w:pPr>
        <w:pStyle w:val="Heading2"/>
        <w:divId w:val="1685279250"/>
        <w:rPr>
          <w:rFonts w:asciiTheme="minorHAnsi" w:hAnsiTheme="minorHAnsi" w:cstheme="minorBidi"/>
        </w:rPr>
      </w:pPr>
      <w:r>
        <w:rPr>
          <w:rFonts w:asciiTheme="minorHAnsi" w:hAnsiTheme="minorHAnsi" w:cstheme="minorBidi"/>
        </w:rPr>
        <w:t>1. Greater self-awareness</w:t>
      </w:r>
    </w:p>
    <w:p w14:paraId="13D8F227" w14:textId="77777777" w:rsidR="00540720" w:rsidRDefault="00540720" w:rsidP="005F3CFA">
      <w:pPr>
        <w:jc w:val="both"/>
        <w:divId w:val="1685279250"/>
        <w:rPr>
          <w:rFonts w:ascii="Aptos" w:hAnsi="Aptos" w:cs="Times New Roman"/>
        </w:rPr>
      </w:pPr>
      <w:r>
        <w:t>WRAP encourages the individual to identify what they are like when they are well, what situations may be activating or stressful, and what changes signal that extra support is needed. This awareness can help a person recognize when they are ready to offer support and when they need to pause and care for themselves.</w:t>
      </w:r>
    </w:p>
    <w:p w14:paraId="04CE6D8E" w14:textId="77777777" w:rsidR="00540720" w:rsidRDefault="00540720">
      <w:pPr>
        <w:pStyle w:val="Heading2"/>
        <w:divId w:val="1685279250"/>
        <w:rPr>
          <w:rFonts w:asciiTheme="minorHAnsi" w:hAnsiTheme="minorHAnsi" w:cstheme="minorBidi"/>
        </w:rPr>
      </w:pPr>
      <w:r>
        <w:rPr>
          <w:rFonts w:asciiTheme="minorHAnsi" w:hAnsiTheme="minorHAnsi" w:cstheme="minorBidi"/>
        </w:rPr>
        <w:t>2. Healthier boundaries in service</w:t>
      </w:r>
    </w:p>
    <w:p w14:paraId="7E4D9A94" w14:textId="77777777" w:rsidR="00540720" w:rsidRDefault="00540720" w:rsidP="005F3CFA">
      <w:pPr>
        <w:jc w:val="both"/>
        <w:divId w:val="1685279250"/>
        <w:rPr>
          <w:rFonts w:ascii="Aptos" w:hAnsi="Aptos" w:cs="Times New Roman"/>
        </w:rPr>
      </w:pPr>
      <w:r>
        <w:t>A written plan can clarify limits around time, availability, transportation, finances, and emotional responsibility. Healthy boundaries allow the individual to be helpful without attempting to control another person's recovery or taking on responsibilities that belong to professionals, sponsors, or the person seeking help.</w:t>
      </w:r>
    </w:p>
    <w:p w14:paraId="0230103D" w14:textId="77777777" w:rsidR="00540720" w:rsidRDefault="00540720">
      <w:pPr>
        <w:pStyle w:val="Heading2"/>
        <w:divId w:val="1685279250"/>
        <w:rPr>
          <w:rFonts w:asciiTheme="minorHAnsi" w:hAnsiTheme="minorHAnsi" w:cstheme="minorBidi"/>
        </w:rPr>
      </w:pPr>
      <w:r>
        <w:rPr>
          <w:rFonts w:asciiTheme="minorHAnsi" w:hAnsiTheme="minorHAnsi" w:cstheme="minorBidi"/>
        </w:rPr>
        <w:t>3. Earlier response to warning signs</w:t>
      </w:r>
    </w:p>
    <w:p w14:paraId="08EB9A01" w14:textId="77777777" w:rsidR="00540720" w:rsidRDefault="00540720" w:rsidP="005F3CFA">
      <w:pPr>
        <w:jc w:val="both"/>
        <w:divId w:val="1685279250"/>
        <w:rPr>
          <w:rFonts w:ascii="Aptos" w:hAnsi="Aptos" w:cs="Times New Roman"/>
        </w:rPr>
      </w:pPr>
      <w:r>
        <w:t>When service commitments increase stress or disrupt healthy routines, a list of early warning signs can prompt timely action. The individual might reduce commitments, contact a sponsor or trusted peer, return to basic wellness practices, or seek professional support before the situation becomes more serious.</w:t>
      </w:r>
    </w:p>
    <w:p w14:paraId="517FC16D" w14:textId="77777777" w:rsidR="00540720" w:rsidRDefault="00540720">
      <w:pPr>
        <w:pStyle w:val="Heading2"/>
        <w:divId w:val="1685279250"/>
        <w:rPr>
          <w:rFonts w:asciiTheme="minorHAnsi" w:hAnsiTheme="minorHAnsi" w:cstheme="minorBidi"/>
        </w:rPr>
      </w:pPr>
      <w:r>
        <w:rPr>
          <w:rFonts w:asciiTheme="minorHAnsi" w:hAnsiTheme="minorHAnsi" w:cstheme="minorBidi"/>
        </w:rPr>
        <w:t>4. Consistency and accountability</w:t>
      </w:r>
    </w:p>
    <w:p w14:paraId="2D2C51C0" w14:textId="77777777" w:rsidR="00540720" w:rsidRDefault="00540720" w:rsidP="00483E98">
      <w:pPr>
        <w:jc w:val="both"/>
        <w:divId w:val="1685279250"/>
        <w:rPr>
          <w:rFonts w:ascii="Aptos" w:hAnsi="Aptos" w:cs="Times New Roman"/>
        </w:rPr>
      </w:pPr>
      <w:r>
        <w:t>WRAP provides a place to record what the individual intends to do each day and what steps to take when challenges arise. Reviewing the plan with a trusted support person can reinforce follow-through and make it easier to distinguish purposeful service from overextension.</w:t>
      </w:r>
    </w:p>
    <w:p w14:paraId="1848F12B" w14:textId="77777777" w:rsidR="00540720" w:rsidRDefault="00540720">
      <w:pPr>
        <w:pStyle w:val="Heading2"/>
        <w:divId w:val="1685279250"/>
        <w:rPr>
          <w:rFonts w:asciiTheme="minorHAnsi" w:hAnsiTheme="minorHAnsi" w:cstheme="minorBidi"/>
        </w:rPr>
      </w:pPr>
      <w:r>
        <w:rPr>
          <w:rFonts w:asciiTheme="minorHAnsi" w:hAnsiTheme="minorHAnsi" w:cstheme="minorBidi"/>
        </w:rPr>
        <w:t>5. Reduced isolation</w:t>
      </w:r>
    </w:p>
    <w:p w14:paraId="4158BDDC" w14:textId="77777777" w:rsidR="00540720" w:rsidRDefault="00540720" w:rsidP="00483E98">
      <w:pPr>
        <w:jc w:val="both"/>
        <w:divId w:val="1685279250"/>
        <w:rPr>
          <w:rFonts w:ascii="Aptos" w:hAnsi="Aptos" w:cs="Times New Roman"/>
        </w:rPr>
      </w:pPr>
      <w:r>
        <w:t>Both WRAP and Twelfth Step practice emphasize connection. Naming supporters and preferred ways of receiving help can make it easier to reach out, while service to others can strengthen belonging, purpose, and hope.</w:t>
      </w:r>
    </w:p>
    <w:p w14:paraId="04788674" w14:textId="77777777" w:rsidR="00540720" w:rsidRDefault="00540720">
      <w:pPr>
        <w:pStyle w:val="Heading2"/>
        <w:divId w:val="1685279250"/>
        <w:rPr>
          <w:rFonts w:asciiTheme="minorHAnsi" w:hAnsiTheme="minorHAnsi" w:cstheme="minorBidi"/>
        </w:rPr>
      </w:pPr>
      <w:r>
        <w:rPr>
          <w:rFonts w:asciiTheme="minorHAnsi" w:hAnsiTheme="minorHAnsi" w:cstheme="minorBidi"/>
        </w:rPr>
        <w:lastRenderedPageBreak/>
        <w:t>6. A sustainable approach to carrying the message</w:t>
      </w:r>
    </w:p>
    <w:p w14:paraId="1ECAC857" w14:textId="77777777" w:rsidR="00540720" w:rsidRDefault="00540720" w:rsidP="00194B78">
      <w:pPr>
        <w:jc w:val="both"/>
        <w:divId w:val="1685279250"/>
        <w:rPr>
          <w:rFonts w:ascii="Aptos" w:hAnsi="Aptos" w:cs="Times New Roman"/>
        </w:rPr>
      </w:pPr>
      <w:r>
        <w:t>A person is more likely to serve effectively over time when rest, reflection, support, and personal recovery remain priorities. WRAP helps frame self-care not as withdrawal from service, but as part of responsible service.</w:t>
      </w:r>
    </w:p>
    <w:p w14:paraId="5CC6AA2B" w14:textId="77777777" w:rsidR="00540720" w:rsidRPr="00194B78" w:rsidRDefault="00540720">
      <w:pPr>
        <w:pStyle w:val="Heading1"/>
        <w:divId w:val="1540167173"/>
        <w:rPr>
          <w:rFonts w:asciiTheme="minorHAnsi" w:hAnsiTheme="minorHAnsi" w:cstheme="minorBidi"/>
          <w:b/>
          <w:bCs/>
        </w:rPr>
      </w:pPr>
      <w:r w:rsidRPr="00194B78">
        <w:rPr>
          <w:rFonts w:asciiTheme="minorHAnsi" w:hAnsiTheme="minorHAnsi" w:cstheme="minorBidi"/>
          <w:b/>
          <w:bCs/>
        </w:rPr>
        <w:t>Using the Parts of WRAP in Twelfth Step Practice</w:t>
      </w:r>
    </w:p>
    <w:p w14:paraId="4C7B152D" w14:textId="77777777" w:rsidR="00540720" w:rsidRDefault="00540720">
      <w:pPr>
        <w:pStyle w:val="Heading2"/>
        <w:divId w:val="1540167173"/>
        <w:rPr>
          <w:rFonts w:asciiTheme="minorHAnsi" w:hAnsiTheme="minorHAnsi" w:cstheme="minorBidi"/>
        </w:rPr>
      </w:pPr>
      <w:r>
        <w:rPr>
          <w:rFonts w:asciiTheme="minorHAnsi" w:hAnsiTheme="minorHAnsi" w:cstheme="minorBidi"/>
        </w:rPr>
        <w:t>Wellness Toolbox</w:t>
      </w:r>
    </w:p>
    <w:p w14:paraId="28E84C38" w14:textId="77777777" w:rsidR="00540720" w:rsidRDefault="00540720" w:rsidP="00194B78">
      <w:pPr>
        <w:jc w:val="both"/>
        <w:divId w:val="1540167173"/>
        <w:rPr>
          <w:rFonts w:ascii="Aptos" w:hAnsi="Aptos" w:cs="Times New Roman"/>
        </w:rPr>
      </w:pPr>
      <w:r>
        <w:t>List resources that support both personal recovery and responsible service. Examples may include attending meetings, speaking with a sponsor, quiet reflection, spiritual practice, exercise, creative activity, nutritious meals, adequate sleep, peer support, and professional care.</w:t>
      </w:r>
    </w:p>
    <w:p w14:paraId="72C0D742" w14:textId="77777777" w:rsidR="00540720" w:rsidRDefault="00540720">
      <w:pPr>
        <w:pStyle w:val="Heading2"/>
        <w:divId w:val="1540167173"/>
        <w:rPr>
          <w:rFonts w:asciiTheme="minorHAnsi" w:hAnsiTheme="minorHAnsi" w:cstheme="minorBidi"/>
        </w:rPr>
      </w:pPr>
      <w:r>
        <w:rPr>
          <w:rFonts w:asciiTheme="minorHAnsi" w:hAnsiTheme="minorHAnsi" w:cstheme="minorBidi"/>
        </w:rPr>
        <w:t>Daily Maintenance Plan</w:t>
      </w:r>
    </w:p>
    <w:p w14:paraId="6B0EF3CA" w14:textId="77777777" w:rsidR="00540720" w:rsidRDefault="00540720" w:rsidP="00B77896">
      <w:pPr>
        <w:jc w:val="both"/>
        <w:divId w:val="1540167173"/>
        <w:rPr>
          <w:rFonts w:ascii="Aptos" w:hAnsi="Aptos" w:cs="Times New Roman"/>
        </w:rPr>
      </w:pPr>
      <w:r>
        <w:t>Describe what wellness looks like and identify the actions needed each day to maintain it. Include core recovery practices before adding service commitments. A simple question can guide this section: “What must I do today to remain grounded enough to be useful to others?”</w:t>
      </w:r>
    </w:p>
    <w:p w14:paraId="37AB6D1E" w14:textId="77777777" w:rsidR="00540720" w:rsidRDefault="00540720">
      <w:pPr>
        <w:pStyle w:val="Heading2"/>
        <w:divId w:val="1540167173"/>
        <w:rPr>
          <w:rFonts w:asciiTheme="minorHAnsi" w:hAnsiTheme="minorHAnsi" w:cstheme="minorBidi"/>
        </w:rPr>
      </w:pPr>
      <w:r>
        <w:rPr>
          <w:rFonts w:asciiTheme="minorHAnsi" w:hAnsiTheme="minorHAnsi" w:cstheme="minorBidi"/>
        </w:rPr>
        <w:t>Stressors and Action Plans</w:t>
      </w:r>
    </w:p>
    <w:p w14:paraId="4685DE8E" w14:textId="77777777" w:rsidR="00540720" w:rsidRDefault="00540720" w:rsidP="00B77896">
      <w:pPr>
        <w:jc w:val="both"/>
        <w:divId w:val="1540167173"/>
        <w:rPr>
          <w:rFonts w:ascii="Aptos" w:hAnsi="Aptos" w:cs="Times New Roman"/>
        </w:rPr>
      </w:pPr>
      <w:r>
        <w:t>Identify situations that can disturb balance, such as conflict, rejection, exposure to another person's crisis, excessive requests for help, anniversaries, or changes in routine. For each situation, write actions that restore stability without blaming or avoiding others.</w:t>
      </w:r>
    </w:p>
    <w:p w14:paraId="18B7D271" w14:textId="77777777" w:rsidR="00540720" w:rsidRDefault="00540720">
      <w:pPr>
        <w:pStyle w:val="Heading2"/>
        <w:divId w:val="1540167173"/>
        <w:rPr>
          <w:rFonts w:asciiTheme="minorHAnsi" w:hAnsiTheme="minorHAnsi" w:cstheme="minorBidi"/>
        </w:rPr>
      </w:pPr>
      <w:r>
        <w:rPr>
          <w:rFonts w:asciiTheme="minorHAnsi" w:hAnsiTheme="minorHAnsi" w:cstheme="minorBidi"/>
        </w:rPr>
        <w:t>Early Warning Signs and Action Plans</w:t>
      </w:r>
    </w:p>
    <w:p w14:paraId="5F10FF42" w14:textId="77777777" w:rsidR="00540720" w:rsidRDefault="00540720" w:rsidP="00B77896">
      <w:pPr>
        <w:jc w:val="both"/>
        <w:divId w:val="1540167173"/>
        <w:rPr>
          <w:rFonts w:ascii="Aptos" w:hAnsi="Aptos" w:cs="Times New Roman"/>
        </w:rPr>
      </w:pPr>
      <w:r>
        <w:t>Notice internal changes such as irritability, racing thoughts, loss of sleep, skipping meetings, withdrawing, resentment, or feeling indispensable. Pair each sign with specific responses, including reducing service commitments, contacting support, and returning to daily maintenance practices.</w:t>
      </w:r>
    </w:p>
    <w:p w14:paraId="2A1D6863" w14:textId="77777777" w:rsidR="00540720" w:rsidRDefault="00540720">
      <w:pPr>
        <w:pStyle w:val="Heading2"/>
        <w:divId w:val="1540167173"/>
        <w:rPr>
          <w:rFonts w:asciiTheme="minorHAnsi" w:hAnsiTheme="minorHAnsi" w:cstheme="minorBidi"/>
        </w:rPr>
      </w:pPr>
      <w:r>
        <w:rPr>
          <w:rFonts w:asciiTheme="minorHAnsi" w:hAnsiTheme="minorHAnsi" w:cstheme="minorBidi"/>
        </w:rPr>
        <w:t>When Things Are Breaking Down</w:t>
      </w:r>
    </w:p>
    <w:p w14:paraId="453A5689" w14:textId="77777777" w:rsidR="00540720" w:rsidRDefault="00540720" w:rsidP="00B77896">
      <w:pPr>
        <w:jc w:val="both"/>
        <w:divId w:val="1540167173"/>
        <w:rPr>
          <w:rFonts w:ascii="Aptos" w:hAnsi="Aptos" w:cs="Times New Roman"/>
        </w:rPr>
      </w:pPr>
      <w:r>
        <w:t>Create clear, immediate steps for times when functioning is worsening. These may include canceling nonessential commitments, avoiding major decisions, asking a trusted person for assistance, contacting a clinician, or using local crisis resources when safety is at risk.</w:t>
      </w:r>
    </w:p>
    <w:p w14:paraId="6A16A4ED" w14:textId="77777777" w:rsidR="00540720" w:rsidRDefault="00540720">
      <w:pPr>
        <w:pStyle w:val="Heading2"/>
        <w:divId w:val="1540167173"/>
        <w:rPr>
          <w:rFonts w:asciiTheme="minorHAnsi" w:hAnsiTheme="minorHAnsi" w:cstheme="minorBidi"/>
        </w:rPr>
      </w:pPr>
      <w:r>
        <w:rPr>
          <w:rFonts w:asciiTheme="minorHAnsi" w:hAnsiTheme="minorHAnsi" w:cstheme="minorBidi"/>
        </w:rPr>
        <w:lastRenderedPageBreak/>
        <w:t>Crisis and Post-Crisis Planning</w:t>
      </w:r>
    </w:p>
    <w:p w14:paraId="01C20C2A" w14:textId="77777777" w:rsidR="00540720" w:rsidRDefault="00540720" w:rsidP="00B77896">
      <w:pPr>
        <w:jc w:val="both"/>
        <w:divId w:val="1540167173"/>
        <w:rPr>
          <w:rFonts w:ascii="Aptos" w:hAnsi="Aptos" w:cs="Times New Roman"/>
        </w:rPr>
      </w:pPr>
      <w:r>
        <w:t xml:space="preserve">Record preferences for support if the individual cannot make or communicate sound </w:t>
      </w:r>
      <w:proofErr w:type="gramStart"/>
      <w:r>
        <w:t>decisions, and</w:t>
      </w:r>
      <w:proofErr w:type="gramEnd"/>
      <w:r>
        <w:t xml:space="preserve"> outline a gradual return to routine after a crisis. The post-crisis plan should protect recovery by allowing service responsibilities to resume slowly rather than from guilt or pressure.</w:t>
      </w:r>
    </w:p>
    <w:p w14:paraId="24244F0C" w14:textId="77777777" w:rsidR="00540720" w:rsidRPr="00AC70E4" w:rsidRDefault="00540720">
      <w:pPr>
        <w:pStyle w:val="Heading1"/>
        <w:divId w:val="1436247137"/>
        <w:rPr>
          <w:rFonts w:asciiTheme="minorHAnsi" w:hAnsiTheme="minorHAnsi" w:cstheme="minorBidi"/>
          <w:b/>
          <w:bCs/>
        </w:rPr>
      </w:pPr>
      <w:r w:rsidRPr="00AC70E4">
        <w:rPr>
          <w:rFonts w:asciiTheme="minorHAnsi" w:hAnsiTheme="minorHAnsi" w:cstheme="minorBidi"/>
          <w:b/>
          <w:bCs/>
        </w:rPr>
        <w:t>A Sample Integrated Routine</w:t>
      </w:r>
    </w:p>
    <w:p w14:paraId="1FF950CF" w14:textId="77777777" w:rsidR="00540720" w:rsidRDefault="00540720">
      <w:pPr>
        <w:pStyle w:val="Heading2"/>
        <w:divId w:val="1436247137"/>
        <w:rPr>
          <w:rFonts w:asciiTheme="minorHAnsi" w:hAnsiTheme="minorHAnsi" w:cstheme="minorBidi"/>
        </w:rPr>
      </w:pPr>
      <w:r>
        <w:rPr>
          <w:rFonts w:asciiTheme="minorHAnsi" w:hAnsiTheme="minorHAnsi" w:cstheme="minorBidi"/>
        </w:rPr>
        <w:t>Morning</w:t>
      </w:r>
    </w:p>
    <w:p w14:paraId="3A9DD9AF" w14:textId="77777777" w:rsidR="00540720" w:rsidRDefault="00540720" w:rsidP="00540720">
      <w:pPr>
        <w:pStyle w:val="ListParagraph"/>
        <w:numPr>
          <w:ilvl w:val="0"/>
          <w:numId w:val="1"/>
        </w:numPr>
        <w:divId w:val="1436247137"/>
      </w:pPr>
      <w:r>
        <w:t>Review the daily maintenance plan.</w:t>
      </w:r>
    </w:p>
    <w:p w14:paraId="54B4E929" w14:textId="77777777" w:rsidR="00540720" w:rsidRDefault="00540720" w:rsidP="00540720">
      <w:pPr>
        <w:pStyle w:val="ListParagraph"/>
        <w:numPr>
          <w:ilvl w:val="0"/>
          <w:numId w:val="1"/>
        </w:numPr>
        <w:divId w:val="1436247137"/>
      </w:pPr>
      <w:r>
        <w:t>Identify current energy, stress level, and any early warning signs.</w:t>
      </w:r>
    </w:p>
    <w:p w14:paraId="3B61BAE3" w14:textId="77777777" w:rsidR="00540720" w:rsidRDefault="00540720" w:rsidP="00540720">
      <w:pPr>
        <w:pStyle w:val="ListParagraph"/>
        <w:numPr>
          <w:ilvl w:val="0"/>
          <w:numId w:val="1"/>
        </w:numPr>
        <w:divId w:val="1436247137"/>
      </w:pPr>
      <w:r>
        <w:t>Choose one recovery principle to practice intentionally.</w:t>
      </w:r>
    </w:p>
    <w:p w14:paraId="2F4B6D02" w14:textId="77777777" w:rsidR="00540720" w:rsidRDefault="00540720" w:rsidP="00540720">
      <w:pPr>
        <w:pStyle w:val="ListParagraph"/>
        <w:numPr>
          <w:ilvl w:val="0"/>
          <w:numId w:val="1"/>
        </w:numPr>
        <w:divId w:val="1436247137"/>
      </w:pPr>
      <w:r>
        <w:t>Confirm that planned service fits within healthy limits.</w:t>
      </w:r>
    </w:p>
    <w:p w14:paraId="7BA1B7B2" w14:textId="77777777" w:rsidR="00540720" w:rsidRDefault="00540720">
      <w:pPr>
        <w:pStyle w:val="Heading2"/>
        <w:divId w:val="1436247137"/>
        <w:rPr>
          <w:rFonts w:asciiTheme="minorHAnsi" w:hAnsiTheme="minorHAnsi" w:cstheme="minorBidi"/>
        </w:rPr>
      </w:pPr>
      <w:r>
        <w:rPr>
          <w:rFonts w:asciiTheme="minorHAnsi" w:hAnsiTheme="minorHAnsi" w:cstheme="minorBidi"/>
        </w:rPr>
        <w:t>During Service</w:t>
      </w:r>
    </w:p>
    <w:p w14:paraId="06111CEE" w14:textId="77777777" w:rsidR="00540720" w:rsidRDefault="00540720" w:rsidP="00540720">
      <w:pPr>
        <w:pStyle w:val="ListParagraph"/>
        <w:numPr>
          <w:ilvl w:val="0"/>
          <w:numId w:val="2"/>
        </w:numPr>
        <w:divId w:val="1436247137"/>
      </w:pPr>
      <w:r>
        <w:t>Listen without trying to manage the other person's choices.</w:t>
      </w:r>
    </w:p>
    <w:p w14:paraId="598F9447" w14:textId="77777777" w:rsidR="00540720" w:rsidRDefault="00540720" w:rsidP="00540720">
      <w:pPr>
        <w:pStyle w:val="ListParagraph"/>
        <w:numPr>
          <w:ilvl w:val="0"/>
          <w:numId w:val="2"/>
        </w:numPr>
        <w:divId w:val="1436247137"/>
      </w:pPr>
      <w:r>
        <w:t>Share personal experience rather than giving clinical, legal, or financial advice.</w:t>
      </w:r>
    </w:p>
    <w:p w14:paraId="74383C02" w14:textId="77777777" w:rsidR="00540720" w:rsidRDefault="00540720" w:rsidP="00540720">
      <w:pPr>
        <w:pStyle w:val="ListParagraph"/>
        <w:numPr>
          <w:ilvl w:val="0"/>
          <w:numId w:val="2"/>
        </w:numPr>
        <w:divId w:val="1436247137"/>
      </w:pPr>
      <w:r>
        <w:t>Protect confidentiality and follow the traditions or guidelines of the recovery community.</w:t>
      </w:r>
    </w:p>
    <w:p w14:paraId="2C631F39" w14:textId="77777777" w:rsidR="00540720" w:rsidRDefault="00540720" w:rsidP="00540720">
      <w:pPr>
        <w:pStyle w:val="ListParagraph"/>
        <w:numPr>
          <w:ilvl w:val="0"/>
          <w:numId w:val="2"/>
        </w:numPr>
        <w:divId w:val="1436247137"/>
      </w:pPr>
      <w:r>
        <w:t>Pause or seek guidance if the situation exceeds personal experience or capacity.</w:t>
      </w:r>
    </w:p>
    <w:p w14:paraId="71B1A957" w14:textId="77777777" w:rsidR="00540720" w:rsidRDefault="00540720">
      <w:pPr>
        <w:pStyle w:val="Heading2"/>
        <w:divId w:val="1436247137"/>
        <w:rPr>
          <w:rFonts w:asciiTheme="minorHAnsi" w:hAnsiTheme="minorHAnsi" w:cstheme="minorBidi"/>
        </w:rPr>
      </w:pPr>
      <w:r>
        <w:rPr>
          <w:rFonts w:asciiTheme="minorHAnsi" w:hAnsiTheme="minorHAnsi" w:cstheme="minorBidi"/>
        </w:rPr>
        <w:t>Evening</w:t>
      </w:r>
    </w:p>
    <w:p w14:paraId="47BA746D" w14:textId="77777777" w:rsidR="00540720" w:rsidRDefault="00540720" w:rsidP="00540720">
      <w:pPr>
        <w:pStyle w:val="ListParagraph"/>
        <w:numPr>
          <w:ilvl w:val="0"/>
          <w:numId w:val="3"/>
        </w:numPr>
        <w:divId w:val="1436247137"/>
      </w:pPr>
      <w:r>
        <w:t>Reflect on whether service supported or disrupted personal wellness.</w:t>
      </w:r>
    </w:p>
    <w:p w14:paraId="57116352" w14:textId="77777777" w:rsidR="00540720" w:rsidRDefault="00540720" w:rsidP="00540720">
      <w:pPr>
        <w:pStyle w:val="ListParagraph"/>
        <w:numPr>
          <w:ilvl w:val="0"/>
          <w:numId w:val="3"/>
        </w:numPr>
        <w:divId w:val="1436247137"/>
      </w:pPr>
      <w:r>
        <w:t>Notice gratitude, resentment, fatigue, pride, fear, or other reactions without judgment.</w:t>
      </w:r>
    </w:p>
    <w:p w14:paraId="511C25F1" w14:textId="77777777" w:rsidR="00540720" w:rsidRDefault="00540720" w:rsidP="00540720">
      <w:pPr>
        <w:pStyle w:val="ListParagraph"/>
        <w:numPr>
          <w:ilvl w:val="0"/>
          <w:numId w:val="3"/>
        </w:numPr>
        <w:divId w:val="1436247137"/>
      </w:pPr>
      <w:r>
        <w:t>Take corrective action where appropriate, including rest, amends, consultation, or renewed boundaries.</w:t>
      </w:r>
    </w:p>
    <w:p w14:paraId="3FE870A2" w14:textId="77777777" w:rsidR="00540720" w:rsidRDefault="00540720" w:rsidP="00540720">
      <w:pPr>
        <w:pStyle w:val="ListParagraph"/>
        <w:numPr>
          <w:ilvl w:val="0"/>
          <w:numId w:val="3"/>
        </w:numPr>
        <w:divId w:val="1436247137"/>
      </w:pPr>
      <w:r>
        <w:t>Update the WRAP plan when experience reveals a new helpful tool, stressor, or warning sign.</w:t>
      </w:r>
    </w:p>
    <w:p w14:paraId="24217968" w14:textId="77777777" w:rsidR="00540720" w:rsidRPr="00AC70E4" w:rsidRDefault="00540720">
      <w:pPr>
        <w:pStyle w:val="Heading1"/>
        <w:divId w:val="927739653"/>
        <w:rPr>
          <w:rFonts w:asciiTheme="minorHAnsi" w:hAnsiTheme="minorHAnsi" w:cstheme="minorBidi"/>
          <w:b/>
          <w:bCs/>
        </w:rPr>
      </w:pPr>
      <w:r w:rsidRPr="00AC70E4">
        <w:rPr>
          <w:rFonts w:asciiTheme="minorHAnsi" w:hAnsiTheme="minorHAnsi" w:cstheme="minorBidi"/>
          <w:b/>
          <w:bCs/>
        </w:rPr>
        <w:t>Boundaries and Safety</w:t>
      </w:r>
    </w:p>
    <w:p w14:paraId="333B6333" w14:textId="341913FB" w:rsidR="00540720" w:rsidRDefault="00540720" w:rsidP="00AC70E4">
      <w:pPr>
        <w:jc w:val="both"/>
        <w:divId w:val="927739653"/>
        <w:rPr>
          <w:rFonts w:ascii="Aptos" w:hAnsi="Aptos" w:cs="Times New Roman"/>
        </w:rPr>
      </w:pPr>
      <w:r>
        <w:t xml:space="preserve">Twelfth Step service is peer support; it does not make a person responsible for diagnosing, treating, rescuing, or guaranteeing another person's recovery. A WRAP plan can name situations that require consultation or referral. If someone expresses an immediate risk of harm, a person should contact emergency services or an appropriate crisis resource rather </w:t>
      </w:r>
      <w:r>
        <w:lastRenderedPageBreak/>
        <w:t xml:space="preserve">than trying to manage the situation alone (Substance Abuse and Mental </w:t>
      </w:r>
      <w:proofErr w:type="gramStart"/>
      <w:r>
        <w:t>Health Services</w:t>
      </w:r>
      <w:proofErr w:type="gramEnd"/>
      <w:r>
        <w:t xml:space="preserve"> Administration [SAMHSA], 2023).</w:t>
      </w:r>
    </w:p>
    <w:p w14:paraId="08595BE5" w14:textId="77777777" w:rsidR="00540720" w:rsidRDefault="00540720" w:rsidP="005F6AED">
      <w:pPr>
        <w:jc w:val="both"/>
        <w:divId w:val="927739653"/>
      </w:pPr>
      <w:r>
        <w:t>The individual should also review the plan whenever service repeatedly interferes with sleep, employment, relationships, treatment, meeting attendance, or other essential recovery supports. Stepping back temporarily can be an act of honesty and responsibility.</w:t>
      </w:r>
    </w:p>
    <w:p w14:paraId="672714CA" w14:textId="77777777" w:rsidR="00540720" w:rsidRPr="005F6AED" w:rsidRDefault="00540720">
      <w:pPr>
        <w:pStyle w:val="Heading1"/>
        <w:divId w:val="927739653"/>
        <w:rPr>
          <w:rFonts w:asciiTheme="minorHAnsi" w:hAnsiTheme="minorHAnsi" w:cstheme="minorBidi"/>
          <w:b/>
          <w:bCs/>
        </w:rPr>
      </w:pPr>
      <w:r w:rsidRPr="005F6AED">
        <w:rPr>
          <w:rFonts w:asciiTheme="minorHAnsi" w:hAnsiTheme="minorHAnsi" w:cstheme="minorBidi"/>
          <w:b/>
          <w:bCs/>
        </w:rPr>
        <w:t>Reflection Questions</w:t>
      </w:r>
    </w:p>
    <w:p w14:paraId="615576DA" w14:textId="77777777" w:rsidR="00540720" w:rsidRDefault="00540720" w:rsidP="00540720">
      <w:pPr>
        <w:pStyle w:val="ListParagraph"/>
        <w:numPr>
          <w:ilvl w:val="0"/>
          <w:numId w:val="4"/>
        </w:numPr>
        <w:divId w:val="927739653"/>
      </w:pPr>
      <w:r>
        <w:t xml:space="preserve">What does </w:t>
      </w:r>
      <w:proofErr w:type="gramStart"/>
      <w:r>
        <w:t>being</w:t>
      </w:r>
      <w:proofErr w:type="gramEnd"/>
      <w:r>
        <w:t xml:space="preserve"> well enough to serve look like for me?</w:t>
      </w:r>
    </w:p>
    <w:p w14:paraId="26BD717F" w14:textId="77777777" w:rsidR="00540720" w:rsidRDefault="00540720" w:rsidP="00540720">
      <w:pPr>
        <w:pStyle w:val="ListParagraph"/>
        <w:numPr>
          <w:ilvl w:val="0"/>
          <w:numId w:val="4"/>
        </w:numPr>
        <w:divId w:val="927739653"/>
      </w:pPr>
      <w:r>
        <w:t>Which daily practices are essential to my recovery?</w:t>
      </w:r>
    </w:p>
    <w:p w14:paraId="4CB7E8FB" w14:textId="77777777" w:rsidR="00540720" w:rsidRDefault="00540720" w:rsidP="00540720">
      <w:pPr>
        <w:pStyle w:val="ListParagraph"/>
        <w:numPr>
          <w:ilvl w:val="0"/>
          <w:numId w:val="4"/>
        </w:numPr>
        <w:divId w:val="927739653"/>
      </w:pPr>
      <w:r>
        <w:t>What warning signs tell me that I am becoming overextended?</w:t>
      </w:r>
    </w:p>
    <w:p w14:paraId="4671C8D7" w14:textId="77777777" w:rsidR="00540720" w:rsidRDefault="00540720" w:rsidP="00540720">
      <w:pPr>
        <w:pStyle w:val="ListParagraph"/>
        <w:numPr>
          <w:ilvl w:val="0"/>
          <w:numId w:val="4"/>
        </w:numPr>
        <w:divId w:val="927739653"/>
      </w:pPr>
      <w:r>
        <w:t>Which requests for help are within my role, and which should be referred elsewhere?</w:t>
      </w:r>
    </w:p>
    <w:p w14:paraId="1632A9EA" w14:textId="77777777" w:rsidR="00540720" w:rsidRDefault="00540720" w:rsidP="00540720">
      <w:pPr>
        <w:pStyle w:val="ListParagraph"/>
        <w:numPr>
          <w:ilvl w:val="0"/>
          <w:numId w:val="4"/>
        </w:numPr>
        <w:divId w:val="927739653"/>
      </w:pPr>
      <w:r>
        <w:t>Who can give me honest feedback about my boundaries and well-being?</w:t>
      </w:r>
    </w:p>
    <w:p w14:paraId="30AD2643" w14:textId="77777777" w:rsidR="00540720" w:rsidRDefault="00540720" w:rsidP="00540720">
      <w:pPr>
        <w:pStyle w:val="ListParagraph"/>
        <w:numPr>
          <w:ilvl w:val="0"/>
          <w:numId w:val="4"/>
        </w:numPr>
        <w:divId w:val="927739653"/>
      </w:pPr>
      <w:r>
        <w:t>How will I respond if service activates grief, fear, resentment, or cravings?</w:t>
      </w:r>
    </w:p>
    <w:p w14:paraId="7DA1B147" w14:textId="77777777" w:rsidR="00540720" w:rsidRDefault="00540720" w:rsidP="00540720">
      <w:pPr>
        <w:pStyle w:val="ListParagraph"/>
        <w:numPr>
          <w:ilvl w:val="0"/>
          <w:numId w:val="4"/>
        </w:numPr>
        <w:divId w:val="927739653"/>
      </w:pPr>
      <w:r>
        <w:t>What helps me practice humility and avoid becoming indispensable?</w:t>
      </w:r>
    </w:p>
    <w:p w14:paraId="3F1AE1EF" w14:textId="77777777" w:rsidR="00540720" w:rsidRDefault="00540720" w:rsidP="00540720">
      <w:pPr>
        <w:pStyle w:val="ListParagraph"/>
        <w:numPr>
          <w:ilvl w:val="0"/>
          <w:numId w:val="4"/>
        </w:numPr>
        <w:divId w:val="927739653"/>
      </w:pPr>
      <w:r>
        <w:t>How can I carry the message through my conduct, not only through my words?</w:t>
      </w:r>
    </w:p>
    <w:p w14:paraId="4FD9BA84" w14:textId="77777777" w:rsidR="00540720" w:rsidRPr="005F6AED" w:rsidRDefault="00540720">
      <w:pPr>
        <w:pStyle w:val="Heading1"/>
        <w:divId w:val="1394617991"/>
        <w:rPr>
          <w:rFonts w:cstheme="minorBidi"/>
          <w:b/>
          <w:bCs/>
        </w:rPr>
      </w:pPr>
      <w:r w:rsidRPr="005F6AED">
        <w:rPr>
          <w:rFonts w:cstheme="minorBidi"/>
          <w:b/>
          <w:bCs/>
        </w:rPr>
        <w:t>Conclusion</w:t>
      </w:r>
    </w:p>
    <w:p w14:paraId="6ED5270D" w14:textId="77777777" w:rsidR="00540720" w:rsidRDefault="00540720" w:rsidP="005F6AED">
      <w:pPr>
        <w:jc w:val="both"/>
        <w:divId w:val="1394617991"/>
        <w:rPr>
          <w:rFonts w:cs="Times New Roman"/>
        </w:rPr>
      </w:pPr>
      <w:r>
        <w:t xml:space="preserve">WRAP can give practical structure to </w:t>
      </w:r>
      <w:proofErr w:type="gramStart"/>
      <w:r>
        <w:t>the personal</w:t>
      </w:r>
      <w:proofErr w:type="gramEnd"/>
      <w:r>
        <w:t xml:space="preserve"> responsibility, spiritual principles, and service emphasized in the Twelfth Step. By identifying wellness practices, anticipating challenges, setting boundaries, and planning for support, an individual can carry the message while continuing to protect and strengthen their own recovery. The result is not perfect balance, but a repeatable process of awareness, action, connection, and course correction.</w:t>
      </w:r>
    </w:p>
    <w:p w14:paraId="4BE63787" w14:textId="77777777" w:rsidR="00540720" w:rsidRPr="00C2376F" w:rsidRDefault="00540720">
      <w:pPr>
        <w:pStyle w:val="Quote"/>
        <w:divId w:val="1394617991"/>
        <w:rPr>
          <w:b/>
          <w:bCs/>
          <w:color w:val="C00000"/>
        </w:rPr>
      </w:pPr>
      <w:r w:rsidRPr="00C2376F">
        <w:rPr>
          <w:b/>
          <w:bCs/>
          <w:color w:val="C00000"/>
        </w:rPr>
        <w:t>My wellness supports my service, and responsible service strengthens my recovery.</w:t>
      </w:r>
    </w:p>
    <w:p w14:paraId="6BF82C0C" w14:textId="77777777" w:rsidR="00540720" w:rsidRPr="005F6AED" w:rsidRDefault="00540720" w:rsidP="00540720">
      <w:pPr>
        <w:pStyle w:val="Heading1"/>
        <w:divId w:val="1394617991"/>
        <w:rPr>
          <w:b/>
          <w:bCs/>
        </w:rPr>
      </w:pPr>
      <w:r w:rsidRPr="005F6AED">
        <w:rPr>
          <w:b/>
          <w:bCs/>
        </w:rPr>
        <w:t>References</w:t>
      </w:r>
    </w:p>
    <w:p w14:paraId="33A1AA3C" w14:textId="7BB3E930" w:rsidR="00540720" w:rsidRPr="00C2376F" w:rsidRDefault="00540720" w:rsidP="00540720">
      <w:pPr>
        <w:divId w:val="1394617991"/>
        <w:rPr>
          <w:sz w:val="20"/>
          <w:szCs w:val="20"/>
        </w:rPr>
      </w:pPr>
      <w:r w:rsidRPr="00C2376F">
        <w:rPr>
          <w:sz w:val="20"/>
          <w:szCs w:val="20"/>
        </w:rPr>
        <w:t xml:space="preserve">Advocates for Human Potential. (n.d.). What is WRAP? Wellness Recovery Action Plan. </w:t>
      </w:r>
      <w:hyperlink r:id="rId7" w:history="1">
        <w:r w:rsidR="00AA6C11" w:rsidRPr="00067E33">
          <w:rPr>
            <w:rStyle w:val="Hyperlink"/>
            <w:sz w:val="20"/>
            <w:szCs w:val="20"/>
          </w:rPr>
          <w:t>https://www.wellnessrecoveryactionplan.com/what-is-wrap/</w:t>
        </w:r>
      </w:hyperlink>
      <w:r w:rsidR="00AA6C11">
        <w:rPr>
          <w:sz w:val="20"/>
          <w:szCs w:val="20"/>
        </w:rPr>
        <w:t xml:space="preserve"> </w:t>
      </w:r>
    </w:p>
    <w:p w14:paraId="1C255977" w14:textId="047BFA01" w:rsidR="00540720" w:rsidRPr="00C2376F" w:rsidRDefault="00540720" w:rsidP="00540720">
      <w:pPr>
        <w:divId w:val="1394617991"/>
        <w:rPr>
          <w:sz w:val="20"/>
          <w:szCs w:val="20"/>
        </w:rPr>
      </w:pPr>
      <w:r w:rsidRPr="00C2376F">
        <w:rPr>
          <w:sz w:val="20"/>
          <w:szCs w:val="20"/>
        </w:rPr>
        <w:t xml:space="preserve">Alcoholics Anonymous World Services, Inc. (n.d.). The Twelve Steps. </w:t>
      </w:r>
      <w:hyperlink r:id="rId8" w:history="1">
        <w:r w:rsidR="00AA6C11" w:rsidRPr="00067E33">
          <w:rPr>
            <w:rStyle w:val="Hyperlink"/>
            <w:sz w:val="20"/>
            <w:szCs w:val="20"/>
          </w:rPr>
          <w:t>https://www.aa.org/the-twelve-steps</w:t>
        </w:r>
      </w:hyperlink>
      <w:r w:rsidR="00AA6C11">
        <w:rPr>
          <w:sz w:val="20"/>
          <w:szCs w:val="20"/>
        </w:rPr>
        <w:t xml:space="preserve"> </w:t>
      </w:r>
    </w:p>
    <w:p w14:paraId="6B4F5D40" w14:textId="61E4299D" w:rsidR="00F43ADD" w:rsidRDefault="00540720">
      <w:r w:rsidRPr="00C2376F">
        <w:rPr>
          <w:sz w:val="20"/>
          <w:szCs w:val="20"/>
        </w:rPr>
        <w:t xml:space="preserve">Substance Abuse and Mental Health Services Administration. (2023). SAMHSA’s national model standards for peer support certification (Publication No. PEP23-10-01-001). </w:t>
      </w:r>
      <w:hyperlink r:id="rId9" w:history="1">
        <w:r w:rsidR="00AA6C11" w:rsidRPr="00067E33">
          <w:rPr>
            <w:rStyle w:val="Hyperlink"/>
            <w:sz w:val="20"/>
            <w:szCs w:val="20"/>
          </w:rPr>
          <w:t>https://library.samhsa.gov/product/samhsas-national-model-standards-peer-support-certification/pep23-10-01-001</w:t>
        </w:r>
      </w:hyperlink>
      <w:r w:rsidR="00AA6C11">
        <w:rPr>
          <w:sz w:val="20"/>
          <w:szCs w:val="20"/>
        </w:rPr>
        <w:t xml:space="preserve"> </w:t>
      </w:r>
    </w:p>
    <w:sectPr w:rsidR="00F43ADD">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BF81F" w14:textId="77777777" w:rsidR="00204155" w:rsidRDefault="00204155" w:rsidP="00540720">
      <w:pPr>
        <w:spacing w:after="0" w:line="240" w:lineRule="auto"/>
      </w:pPr>
      <w:r>
        <w:separator/>
      </w:r>
    </w:p>
  </w:endnote>
  <w:endnote w:type="continuationSeparator" w:id="0">
    <w:p w14:paraId="119135E1" w14:textId="77777777" w:rsidR="00204155" w:rsidRDefault="00204155" w:rsidP="00540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9DA25" w14:textId="77777777" w:rsidR="00204155" w:rsidRDefault="00204155" w:rsidP="00540720">
      <w:pPr>
        <w:spacing w:after="0" w:line="240" w:lineRule="auto"/>
      </w:pPr>
      <w:r>
        <w:separator/>
      </w:r>
    </w:p>
  </w:footnote>
  <w:footnote w:type="continuationSeparator" w:id="0">
    <w:p w14:paraId="7F191A85" w14:textId="77777777" w:rsidR="00204155" w:rsidRDefault="00204155" w:rsidP="005407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506881"/>
      <w:docPartObj>
        <w:docPartGallery w:val="Page Numbers (Top of Page)"/>
        <w:docPartUnique/>
      </w:docPartObj>
    </w:sdtPr>
    <w:sdtEndPr>
      <w:rPr>
        <w:noProof/>
      </w:rPr>
    </w:sdtEndPr>
    <w:sdtContent>
      <w:p w14:paraId="2B7406EF" w14:textId="3B354CC8" w:rsidR="00540720" w:rsidRDefault="0054072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FC0DA2" w14:textId="77777777" w:rsidR="00540720" w:rsidRDefault="005407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E203F"/>
    <w:multiLevelType w:val="multilevel"/>
    <w:tmpl w:val="883E2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03E87"/>
    <w:multiLevelType w:val="multilevel"/>
    <w:tmpl w:val="F530D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7827AF"/>
    <w:multiLevelType w:val="multilevel"/>
    <w:tmpl w:val="3D5E8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03380E"/>
    <w:multiLevelType w:val="multilevel"/>
    <w:tmpl w:val="85520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319135">
    <w:abstractNumId w:val="2"/>
  </w:num>
  <w:num w:numId="2" w16cid:durableId="358166005">
    <w:abstractNumId w:val="3"/>
  </w:num>
  <w:num w:numId="3" w16cid:durableId="1030952564">
    <w:abstractNumId w:val="1"/>
  </w:num>
  <w:num w:numId="4" w16cid:durableId="1730222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ADD"/>
    <w:rsid w:val="00194B78"/>
    <w:rsid w:val="00204155"/>
    <w:rsid w:val="004401C2"/>
    <w:rsid w:val="00483E98"/>
    <w:rsid w:val="004B595E"/>
    <w:rsid w:val="00515BB4"/>
    <w:rsid w:val="00540720"/>
    <w:rsid w:val="005F3CFA"/>
    <w:rsid w:val="005F6AED"/>
    <w:rsid w:val="0073012D"/>
    <w:rsid w:val="008C5067"/>
    <w:rsid w:val="009965BB"/>
    <w:rsid w:val="00A4146D"/>
    <w:rsid w:val="00A82F06"/>
    <w:rsid w:val="00AA6C11"/>
    <w:rsid w:val="00AC70E4"/>
    <w:rsid w:val="00B77896"/>
    <w:rsid w:val="00BF54E5"/>
    <w:rsid w:val="00C2376F"/>
    <w:rsid w:val="00E45D1E"/>
    <w:rsid w:val="00EB257B"/>
    <w:rsid w:val="00F43ADD"/>
    <w:rsid w:val="00FD2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6DF23"/>
  <w15:chartTrackingRefBased/>
  <w15:docId w15:val="{C6C661E0-BE95-4BF5-9663-0FEB322BF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3A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43A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3A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A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A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A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A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A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A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A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A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A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A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A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A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A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A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ADD"/>
    <w:rPr>
      <w:rFonts w:eastAsiaTheme="majorEastAsia" w:cstheme="majorBidi"/>
      <w:color w:val="272727" w:themeColor="text1" w:themeTint="D8"/>
    </w:rPr>
  </w:style>
  <w:style w:type="paragraph" w:styleId="Title">
    <w:name w:val="Title"/>
    <w:basedOn w:val="Normal"/>
    <w:next w:val="Normal"/>
    <w:link w:val="TitleChar"/>
    <w:uiPriority w:val="10"/>
    <w:qFormat/>
    <w:rsid w:val="00F43A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A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A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A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ADD"/>
    <w:pPr>
      <w:spacing w:before="160"/>
      <w:jc w:val="center"/>
    </w:pPr>
    <w:rPr>
      <w:i/>
      <w:iCs/>
      <w:color w:val="404040" w:themeColor="text1" w:themeTint="BF"/>
    </w:rPr>
  </w:style>
  <w:style w:type="character" w:customStyle="1" w:styleId="QuoteChar">
    <w:name w:val="Quote Char"/>
    <w:basedOn w:val="DefaultParagraphFont"/>
    <w:link w:val="Quote"/>
    <w:uiPriority w:val="29"/>
    <w:rsid w:val="00F43ADD"/>
    <w:rPr>
      <w:i/>
      <w:iCs/>
      <w:color w:val="404040" w:themeColor="text1" w:themeTint="BF"/>
    </w:rPr>
  </w:style>
  <w:style w:type="paragraph" w:styleId="ListParagraph">
    <w:name w:val="List Paragraph"/>
    <w:basedOn w:val="Normal"/>
    <w:uiPriority w:val="34"/>
    <w:qFormat/>
    <w:rsid w:val="00F43ADD"/>
    <w:pPr>
      <w:ind w:left="720"/>
      <w:contextualSpacing/>
    </w:pPr>
  </w:style>
  <w:style w:type="character" w:styleId="IntenseEmphasis">
    <w:name w:val="Intense Emphasis"/>
    <w:basedOn w:val="DefaultParagraphFont"/>
    <w:uiPriority w:val="21"/>
    <w:qFormat/>
    <w:rsid w:val="00F43ADD"/>
    <w:rPr>
      <w:i/>
      <w:iCs/>
      <w:color w:val="0F4761" w:themeColor="accent1" w:themeShade="BF"/>
    </w:rPr>
  </w:style>
  <w:style w:type="paragraph" w:styleId="IntenseQuote">
    <w:name w:val="Intense Quote"/>
    <w:basedOn w:val="Normal"/>
    <w:next w:val="Normal"/>
    <w:link w:val="IntenseQuoteChar"/>
    <w:uiPriority w:val="30"/>
    <w:qFormat/>
    <w:rsid w:val="00F43A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ADD"/>
    <w:rPr>
      <w:i/>
      <w:iCs/>
      <w:color w:val="0F4761" w:themeColor="accent1" w:themeShade="BF"/>
    </w:rPr>
  </w:style>
  <w:style w:type="character" w:styleId="IntenseReference">
    <w:name w:val="Intense Reference"/>
    <w:basedOn w:val="DefaultParagraphFont"/>
    <w:uiPriority w:val="32"/>
    <w:qFormat/>
    <w:rsid w:val="00F43ADD"/>
    <w:rPr>
      <w:b/>
      <w:bCs/>
      <w:smallCaps/>
      <w:color w:val="0F4761" w:themeColor="accent1" w:themeShade="BF"/>
      <w:spacing w:val="5"/>
    </w:rPr>
  </w:style>
  <w:style w:type="character" w:styleId="BookTitle">
    <w:name w:val="Book Title"/>
    <w:basedOn w:val="DefaultParagraphFont"/>
    <w:uiPriority w:val="33"/>
    <w:qFormat/>
    <w:rsid w:val="00F43ADD"/>
    <w:rPr>
      <w:b/>
      <w:bCs/>
      <w:i/>
      <w:iCs/>
      <w:spacing w:val="5"/>
    </w:rPr>
  </w:style>
  <w:style w:type="paragraph" w:styleId="Caption">
    <w:name w:val="caption"/>
    <w:basedOn w:val="Normal"/>
    <w:next w:val="Normal"/>
    <w:uiPriority w:val="35"/>
    <w:semiHidden/>
    <w:unhideWhenUsed/>
    <w:qFormat/>
    <w:rsid w:val="00F43ADD"/>
    <w:pPr>
      <w:spacing w:after="200" w:line="240" w:lineRule="auto"/>
    </w:pPr>
    <w:rPr>
      <w:i/>
      <w:iCs/>
      <w:color w:val="0E2841" w:themeColor="text2"/>
      <w:sz w:val="18"/>
      <w:szCs w:val="18"/>
    </w:rPr>
  </w:style>
  <w:style w:type="character" w:styleId="Emphasis">
    <w:name w:val="Emphasis"/>
    <w:basedOn w:val="DefaultParagraphFont"/>
    <w:uiPriority w:val="20"/>
    <w:qFormat/>
    <w:rsid w:val="00F43ADD"/>
    <w:rPr>
      <w:i/>
      <w:iCs/>
    </w:rPr>
  </w:style>
  <w:style w:type="paragraph" w:styleId="NoSpacing">
    <w:name w:val="No Spacing"/>
    <w:uiPriority w:val="1"/>
    <w:qFormat/>
    <w:rsid w:val="00F43ADD"/>
    <w:pPr>
      <w:spacing w:after="0" w:line="240" w:lineRule="auto"/>
    </w:pPr>
  </w:style>
  <w:style w:type="character" w:styleId="Strong">
    <w:name w:val="Strong"/>
    <w:basedOn w:val="DefaultParagraphFont"/>
    <w:uiPriority w:val="22"/>
    <w:qFormat/>
    <w:rsid w:val="00F43ADD"/>
    <w:rPr>
      <w:b/>
      <w:bCs/>
    </w:rPr>
  </w:style>
  <w:style w:type="character" w:styleId="SubtleEmphasis">
    <w:name w:val="Subtle Emphasis"/>
    <w:basedOn w:val="DefaultParagraphFont"/>
    <w:uiPriority w:val="19"/>
    <w:qFormat/>
    <w:rsid w:val="00F43ADD"/>
    <w:rPr>
      <w:i/>
      <w:iCs/>
      <w:color w:val="404040" w:themeColor="text1" w:themeTint="BF"/>
    </w:rPr>
  </w:style>
  <w:style w:type="character" w:styleId="SubtleReference">
    <w:name w:val="Subtle Reference"/>
    <w:basedOn w:val="DefaultParagraphFont"/>
    <w:uiPriority w:val="31"/>
    <w:qFormat/>
    <w:rsid w:val="00F43ADD"/>
    <w:rPr>
      <w:smallCaps/>
      <w:color w:val="5A5A5A" w:themeColor="text1" w:themeTint="A5"/>
    </w:rPr>
  </w:style>
  <w:style w:type="paragraph" w:styleId="TOCHeading">
    <w:name w:val="TOC Heading"/>
    <w:basedOn w:val="Heading1"/>
    <w:next w:val="Normal"/>
    <w:uiPriority w:val="39"/>
    <w:semiHidden/>
    <w:unhideWhenUsed/>
    <w:qFormat/>
    <w:rsid w:val="00F43ADD"/>
    <w:pPr>
      <w:spacing w:before="240" w:after="0"/>
      <w:outlineLvl w:val="9"/>
    </w:pPr>
    <w:rPr>
      <w:sz w:val="32"/>
      <w:szCs w:val="32"/>
    </w:rPr>
  </w:style>
  <w:style w:type="paragraph" w:styleId="NormalWeb">
    <w:name w:val="Normal (Web)"/>
    <w:basedOn w:val="Normal"/>
    <w:uiPriority w:val="99"/>
    <w:semiHidden/>
    <w:unhideWhenUsed/>
    <w:rsid w:val="00F43ADD"/>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540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720"/>
  </w:style>
  <w:style w:type="paragraph" w:styleId="Footer">
    <w:name w:val="footer"/>
    <w:basedOn w:val="Normal"/>
    <w:link w:val="FooterChar"/>
    <w:uiPriority w:val="99"/>
    <w:unhideWhenUsed/>
    <w:rsid w:val="00540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720"/>
  </w:style>
  <w:style w:type="character" w:styleId="Hyperlink">
    <w:name w:val="Hyperlink"/>
    <w:basedOn w:val="DefaultParagraphFont"/>
    <w:uiPriority w:val="99"/>
    <w:unhideWhenUsed/>
    <w:rsid w:val="00AA6C11"/>
    <w:rPr>
      <w:color w:val="467886" w:themeColor="hyperlink"/>
      <w:u w:val="single"/>
    </w:rPr>
  </w:style>
  <w:style w:type="character" w:styleId="UnresolvedMention">
    <w:name w:val="Unresolved Mention"/>
    <w:basedOn w:val="DefaultParagraphFont"/>
    <w:uiPriority w:val="99"/>
    <w:semiHidden/>
    <w:unhideWhenUsed/>
    <w:rsid w:val="00AA6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739653">
      <w:marLeft w:val="0"/>
      <w:marRight w:val="0"/>
      <w:marTop w:val="0"/>
      <w:marBottom w:val="0"/>
      <w:divBdr>
        <w:top w:val="none" w:sz="0" w:space="0" w:color="auto"/>
        <w:left w:val="none" w:sz="0" w:space="0" w:color="auto"/>
        <w:bottom w:val="none" w:sz="0" w:space="0" w:color="auto"/>
        <w:right w:val="none" w:sz="0" w:space="0" w:color="auto"/>
      </w:divBdr>
    </w:div>
    <w:div w:id="1075055785">
      <w:marLeft w:val="0"/>
      <w:marRight w:val="0"/>
      <w:marTop w:val="0"/>
      <w:marBottom w:val="0"/>
      <w:divBdr>
        <w:top w:val="none" w:sz="0" w:space="0" w:color="auto"/>
        <w:left w:val="none" w:sz="0" w:space="0" w:color="auto"/>
        <w:bottom w:val="none" w:sz="0" w:space="0" w:color="auto"/>
        <w:right w:val="none" w:sz="0" w:space="0" w:color="auto"/>
      </w:divBdr>
    </w:div>
    <w:div w:id="1079791514">
      <w:marLeft w:val="0"/>
      <w:marRight w:val="0"/>
      <w:marTop w:val="0"/>
      <w:marBottom w:val="0"/>
      <w:divBdr>
        <w:top w:val="none" w:sz="0" w:space="0" w:color="auto"/>
        <w:left w:val="none" w:sz="0" w:space="0" w:color="auto"/>
        <w:bottom w:val="none" w:sz="0" w:space="0" w:color="auto"/>
        <w:right w:val="none" w:sz="0" w:space="0" w:color="auto"/>
      </w:divBdr>
    </w:div>
    <w:div w:id="1394617991">
      <w:marLeft w:val="0"/>
      <w:marRight w:val="0"/>
      <w:marTop w:val="0"/>
      <w:marBottom w:val="0"/>
      <w:divBdr>
        <w:top w:val="none" w:sz="0" w:space="0" w:color="auto"/>
        <w:left w:val="none" w:sz="0" w:space="0" w:color="auto"/>
        <w:bottom w:val="none" w:sz="0" w:space="0" w:color="auto"/>
        <w:right w:val="none" w:sz="0" w:space="0" w:color="auto"/>
      </w:divBdr>
    </w:div>
    <w:div w:id="1436247137">
      <w:marLeft w:val="0"/>
      <w:marRight w:val="0"/>
      <w:marTop w:val="0"/>
      <w:marBottom w:val="0"/>
      <w:divBdr>
        <w:top w:val="none" w:sz="0" w:space="0" w:color="auto"/>
        <w:left w:val="none" w:sz="0" w:space="0" w:color="auto"/>
        <w:bottom w:val="none" w:sz="0" w:space="0" w:color="auto"/>
        <w:right w:val="none" w:sz="0" w:space="0" w:color="auto"/>
      </w:divBdr>
    </w:div>
    <w:div w:id="1540167173">
      <w:marLeft w:val="0"/>
      <w:marRight w:val="0"/>
      <w:marTop w:val="0"/>
      <w:marBottom w:val="0"/>
      <w:divBdr>
        <w:top w:val="none" w:sz="0" w:space="0" w:color="auto"/>
        <w:left w:val="none" w:sz="0" w:space="0" w:color="auto"/>
        <w:bottom w:val="none" w:sz="0" w:space="0" w:color="auto"/>
        <w:right w:val="none" w:sz="0" w:space="0" w:color="auto"/>
      </w:divBdr>
    </w:div>
    <w:div w:id="168527925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a.org/the-twelve-steps" TargetMode="External"/><Relationship Id="rId3" Type="http://schemas.openxmlformats.org/officeDocument/2006/relationships/settings" Target="settings.xml"/><Relationship Id="rId7" Type="http://schemas.openxmlformats.org/officeDocument/2006/relationships/hyperlink" Target="https://www.wellnessrecoveryactionplan.com/what-is-wra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library.samhsa.gov/product/samhsas-national-model-standards-peer-support-certification/pep23-10-01-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31</TotalTime>
  <Pages>5</Pages>
  <Words>1309</Words>
  <Characters>8195</Characters>
  <Application>Microsoft Office Word</Application>
  <DocSecurity>0</DocSecurity>
  <Lines>234</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16</cp:revision>
  <dcterms:created xsi:type="dcterms:W3CDTF">2026-09-28T11:51:00Z</dcterms:created>
  <dcterms:modified xsi:type="dcterms:W3CDTF">2026-10-05T17:49:00Z</dcterms:modified>
</cp:coreProperties>
</file>