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F5FAD" w14:textId="77777777" w:rsidR="007F0E5B" w:rsidRPr="00D16BED" w:rsidRDefault="00650201">
      <w:pPr>
        <w:pStyle w:val="Title"/>
        <w:rPr>
          <w:b/>
          <w:bCs/>
          <w:sz w:val="30"/>
          <w:szCs w:val="30"/>
        </w:rPr>
      </w:pPr>
      <w:r w:rsidRPr="00D16BED">
        <w:rPr>
          <w:b/>
          <w:bCs/>
          <w:sz w:val="30"/>
          <w:szCs w:val="30"/>
        </w:rPr>
        <w:t xml:space="preserve">How a </w:t>
      </w:r>
      <w:r w:rsidRPr="00D16BED">
        <w:rPr>
          <w:b/>
          <w:bCs/>
          <w:color w:val="C00000"/>
          <w:sz w:val="30"/>
          <w:szCs w:val="30"/>
        </w:rPr>
        <w:t>Wellness Recovery Action Plan (WRAP)</w:t>
      </w:r>
      <w:r w:rsidRPr="00D16BED">
        <w:rPr>
          <w:b/>
          <w:bCs/>
          <w:sz w:val="30"/>
          <w:szCs w:val="30"/>
        </w:rPr>
        <w:t xml:space="preserve"> Can Support an </w:t>
      </w:r>
    </w:p>
    <w:p w14:paraId="4C91B002" w14:textId="5F9931FB" w:rsidR="00A371DC" w:rsidRPr="00D16BED" w:rsidRDefault="00650201">
      <w:pPr>
        <w:pStyle w:val="Title"/>
        <w:rPr>
          <w:b/>
          <w:bCs/>
          <w:color w:val="C00000"/>
          <w:sz w:val="30"/>
          <w:szCs w:val="30"/>
        </w:rPr>
      </w:pPr>
      <w:r w:rsidRPr="00D16BED">
        <w:rPr>
          <w:b/>
          <w:bCs/>
          <w:color w:val="C00000"/>
          <w:sz w:val="30"/>
          <w:szCs w:val="30"/>
        </w:rPr>
        <w:t>Individual Practicing the Twelve Steps</w:t>
      </w:r>
    </w:p>
    <w:p w14:paraId="13CFC1C9" w14:textId="77777777" w:rsidR="00650201" w:rsidRPr="00D126BB" w:rsidRDefault="00650201">
      <w:pPr>
        <w:pStyle w:val="Subtitle"/>
        <w:rPr>
          <w:b/>
          <w:bCs/>
          <w:color w:val="002060"/>
          <w:sz w:val="26"/>
          <w:szCs w:val="26"/>
        </w:rPr>
      </w:pPr>
      <w:r w:rsidRPr="00D126BB">
        <w:rPr>
          <w:b/>
          <w:bCs/>
          <w:color w:val="002060"/>
          <w:sz w:val="26"/>
          <w:szCs w:val="26"/>
        </w:rPr>
        <w:t>A practical, person-centered approach to strengthening daily recovery</w:t>
      </w:r>
    </w:p>
    <w:p w14:paraId="751D0927" w14:textId="77777777" w:rsidR="00650201" w:rsidRPr="009609B0" w:rsidRDefault="00650201">
      <w:pPr>
        <w:pStyle w:val="Heading1"/>
        <w:rPr>
          <w:rFonts w:asciiTheme="minorHAnsi" w:hAnsiTheme="minorHAnsi" w:cstheme="minorBidi"/>
          <w:b/>
          <w:bCs/>
        </w:rPr>
      </w:pPr>
      <w:r w:rsidRPr="009609B0">
        <w:rPr>
          <w:rFonts w:asciiTheme="minorHAnsi" w:hAnsiTheme="minorHAnsi" w:cstheme="minorBidi"/>
          <w:b/>
          <w:bCs/>
        </w:rPr>
        <w:t>Overview</w:t>
      </w:r>
    </w:p>
    <w:p w14:paraId="0C369104" w14:textId="77777777" w:rsidR="00D66985" w:rsidRDefault="00650201" w:rsidP="00B35FBB">
      <w:pPr>
        <w:jc w:val="both"/>
      </w:pPr>
      <w:r>
        <w:t xml:space="preserve">Wellness Recovery Action Plan (WRAP) is a self-directed framework for identifying what supports wellness, noticing early signs of difficulty, and deciding in advance how to respond. </w:t>
      </w:r>
    </w:p>
    <w:p w14:paraId="7845E4B7" w14:textId="77777777" w:rsidR="00D66985" w:rsidRPr="009F52A0" w:rsidRDefault="00650201" w:rsidP="00B35FBB">
      <w:pPr>
        <w:jc w:val="both"/>
        <w:rPr>
          <w:b/>
          <w:bCs/>
          <w:color w:val="C00000"/>
        </w:rPr>
      </w:pPr>
      <w:r w:rsidRPr="009F52A0">
        <w:rPr>
          <w:b/>
          <w:bCs/>
          <w:color w:val="C00000"/>
        </w:rPr>
        <w:t xml:space="preserve">The Twelve Steps offer a spiritual and peer-supported path of honesty, accountability, service, and ongoing personal growth. </w:t>
      </w:r>
    </w:p>
    <w:p w14:paraId="00703E30" w14:textId="11BF0000" w:rsidR="00650201" w:rsidRDefault="00650201" w:rsidP="00B35FBB">
      <w:pPr>
        <w:jc w:val="both"/>
      </w:pPr>
      <w:r>
        <w:t>Used together, WRAP can help an individual translate recovery principles into a personalized daily plan while preserving the fellowship, sponsorship, and spiritual practices that are central to Twelve Step participation.</w:t>
      </w:r>
      <w:r w:rsidR="00BF2D2D">
        <w:t xml:space="preserve"> </w:t>
      </w:r>
    </w:p>
    <w:p w14:paraId="5B5495EA" w14:textId="77777777" w:rsidR="00650201" w:rsidRPr="00564CB6" w:rsidRDefault="00650201">
      <w:pPr>
        <w:pStyle w:val="Heading1"/>
        <w:rPr>
          <w:rFonts w:asciiTheme="minorHAnsi" w:hAnsiTheme="minorHAnsi" w:cstheme="minorBidi"/>
          <w:b/>
          <w:bCs/>
        </w:rPr>
      </w:pPr>
      <w:r w:rsidRPr="00564CB6">
        <w:rPr>
          <w:rFonts w:asciiTheme="minorHAnsi" w:hAnsiTheme="minorHAnsi" w:cstheme="minorBidi"/>
          <w:b/>
          <w:bCs/>
        </w:rPr>
        <w:t>How WRAP Complements Twelve Step Practice</w:t>
      </w:r>
    </w:p>
    <w:p w14:paraId="11279ECB" w14:textId="2B57CED1" w:rsidR="00650201" w:rsidRDefault="00650201" w:rsidP="00650201">
      <w:pPr>
        <w:pStyle w:val="ListParagraph"/>
        <w:numPr>
          <w:ilvl w:val="0"/>
          <w:numId w:val="1"/>
        </w:numPr>
      </w:pPr>
      <w:r w:rsidRPr="00650201">
        <w:rPr>
          <w:b/>
          <w:bCs/>
        </w:rPr>
        <w:t>Greater self-awareness:</w:t>
      </w:r>
      <w:r>
        <w:t xml:space="preserve"> A daily wellness check can reinforce the personal inventory encouraged in Step Ten by helping the individual notice patterns in sleep, stress, emotions, cravings, relationships, and routines.</w:t>
      </w:r>
      <w:r w:rsidR="00BF2D2D">
        <w:t xml:space="preserve"> (Alcoholics Anonymous World Services, Inc., n.d.-a)</w:t>
      </w:r>
    </w:p>
    <w:p w14:paraId="3803934F" w14:textId="01F17A80" w:rsidR="00650201" w:rsidRDefault="00650201" w:rsidP="00650201">
      <w:pPr>
        <w:pStyle w:val="ListParagraph"/>
        <w:numPr>
          <w:ilvl w:val="0"/>
          <w:numId w:val="1"/>
        </w:numPr>
      </w:pPr>
      <w:r>
        <w:rPr>
          <w:b/>
          <w:bCs/>
        </w:rPr>
        <w:t>Earlier action:</w:t>
      </w:r>
      <w:r>
        <w:t xml:space="preserve"> Identifying triggers and early warning signs creates opportunities to contact a sponsor, attend a meeting, use a coping skill, or adjust the day before a problem intensifies.</w:t>
      </w:r>
      <w:r w:rsidR="00BF2D2D">
        <w:t xml:space="preserve"> (Advocates for Human Potential, n.d.-b)</w:t>
      </w:r>
    </w:p>
    <w:p w14:paraId="7C371510" w14:textId="60B19655" w:rsidR="00650201" w:rsidRDefault="00650201" w:rsidP="00650201">
      <w:pPr>
        <w:pStyle w:val="ListParagraph"/>
        <w:numPr>
          <w:ilvl w:val="0"/>
          <w:numId w:val="1"/>
        </w:numPr>
      </w:pPr>
      <w:r>
        <w:rPr>
          <w:b/>
          <w:bCs/>
        </w:rPr>
        <w:t>Personal responsibility without isolation:</w:t>
      </w:r>
      <w:r>
        <w:t xml:space="preserve"> WRAP emphasizes self-direction, while the Twelve Steps emphasize connection, guidance, and mutual support. Together they encourage ownership of choices without suggesting that recovery must be managed alone.</w:t>
      </w:r>
      <w:r w:rsidR="00BF2D2D">
        <w:t xml:space="preserve"> (Alcoholics Anonymous World Services, Inc., n.d.-b)</w:t>
      </w:r>
    </w:p>
    <w:p w14:paraId="682FFF12" w14:textId="77777777" w:rsidR="00650201" w:rsidRDefault="00650201" w:rsidP="00650201">
      <w:pPr>
        <w:pStyle w:val="ListParagraph"/>
        <w:numPr>
          <w:ilvl w:val="0"/>
          <w:numId w:val="1"/>
        </w:numPr>
      </w:pPr>
      <w:r>
        <w:rPr>
          <w:b/>
          <w:bCs/>
        </w:rPr>
        <w:t>Practical support for spiritual principles:</w:t>
      </w:r>
      <w:r>
        <w:t xml:space="preserve"> Values such as honesty, willingness, humility, acceptance, and service can be linked to specific daily actions.</w:t>
      </w:r>
    </w:p>
    <w:p w14:paraId="145943E9" w14:textId="77777777" w:rsidR="00650201" w:rsidRDefault="00650201" w:rsidP="00650201">
      <w:pPr>
        <w:pStyle w:val="ListParagraph"/>
        <w:numPr>
          <w:ilvl w:val="0"/>
          <w:numId w:val="1"/>
        </w:numPr>
      </w:pPr>
      <w:r>
        <w:rPr>
          <w:b/>
          <w:bCs/>
        </w:rPr>
        <w:t>Preparation for difficult periods:</w:t>
      </w:r>
      <w:r>
        <w:t xml:space="preserve"> A written plan can clarify whom to contact, what environments to avoid, what helps, and what others should know if the individual becomes unable to make decisions clearly.</w:t>
      </w:r>
    </w:p>
    <w:p w14:paraId="3F8F0A7A" w14:textId="1448D06B" w:rsidR="00650201" w:rsidRDefault="00650201" w:rsidP="00650201">
      <w:pPr>
        <w:pStyle w:val="ListParagraph"/>
        <w:numPr>
          <w:ilvl w:val="0"/>
          <w:numId w:val="1"/>
        </w:numPr>
      </w:pPr>
      <w:r>
        <w:rPr>
          <w:b/>
          <w:bCs/>
        </w:rPr>
        <w:t>Recognition of progress:</w:t>
      </w:r>
      <w:r>
        <w:t xml:space="preserve"> Recording wellness tools and signs of stability can make growth visible and strengthen hope.</w:t>
      </w:r>
      <w:r w:rsidR="00BF2D2D">
        <w:t xml:space="preserve"> (Cook et al., 2012a; </w:t>
      </w:r>
      <w:proofErr w:type="spellStart"/>
      <w:r w:rsidR="00BF2D2D">
        <w:t>Canacott</w:t>
      </w:r>
      <w:proofErr w:type="spellEnd"/>
      <w:r w:rsidR="00BF2D2D">
        <w:t xml:space="preserve"> et al., 2019)</w:t>
      </w:r>
    </w:p>
    <w:p w14:paraId="6394E73B" w14:textId="77777777" w:rsidR="00650201" w:rsidRPr="00564CB6" w:rsidRDefault="00650201">
      <w:pPr>
        <w:pStyle w:val="Heading1"/>
        <w:rPr>
          <w:rFonts w:asciiTheme="minorHAnsi" w:hAnsiTheme="minorHAnsi" w:cstheme="minorBidi"/>
          <w:b/>
          <w:bCs/>
        </w:rPr>
      </w:pPr>
      <w:r w:rsidRPr="00564CB6">
        <w:rPr>
          <w:rFonts w:asciiTheme="minorHAnsi" w:hAnsiTheme="minorHAnsi" w:cstheme="minorBidi"/>
          <w:b/>
          <w:bCs/>
        </w:rPr>
        <w:lastRenderedPageBreak/>
        <w:t>Applying the Core Parts of WRAP</w:t>
      </w:r>
    </w:p>
    <w:tbl>
      <w:tblPr>
        <w:tblStyle w:val="GridTable4-Accent1"/>
        <w:tblW w:w="5000" w:type="pct"/>
        <w:tblLook w:val="04A0" w:firstRow="1" w:lastRow="0" w:firstColumn="1" w:lastColumn="0" w:noHBand="0" w:noVBand="1"/>
      </w:tblPr>
      <w:tblGrid>
        <w:gridCol w:w="3351"/>
        <w:gridCol w:w="5999"/>
      </w:tblGrid>
      <w:tr w:rsidR="00650201" w:rsidRPr="00B02CE1" w14:paraId="782E6F7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19C7AC1" w14:textId="77777777" w:rsidR="00650201" w:rsidRPr="00B02CE1" w:rsidRDefault="00650201">
            <w:pPr>
              <w:spacing w:after="160"/>
              <w:rPr>
                <w:sz w:val="22"/>
                <w:szCs w:val="22"/>
              </w:rPr>
            </w:pPr>
            <w:r w:rsidRPr="00B02CE1">
              <w:rPr>
                <w:sz w:val="22"/>
                <w:szCs w:val="22"/>
              </w:rPr>
              <w:t>WRAP Component</w:t>
            </w:r>
          </w:p>
        </w:tc>
        <w:tc>
          <w:tcPr>
            <w:tcW w:w="0" w:type="auto"/>
            <w:hideMark/>
          </w:tcPr>
          <w:p w14:paraId="6B1DFAE1" w14:textId="77777777" w:rsidR="00650201" w:rsidRPr="00B02CE1" w:rsidRDefault="00650201">
            <w:pPr>
              <w:spacing w:after="160"/>
              <w:cnfStyle w:val="100000000000" w:firstRow="1" w:lastRow="0" w:firstColumn="0" w:lastColumn="0" w:oddVBand="0" w:evenVBand="0" w:oddHBand="0" w:evenHBand="0" w:firstRowFirstColumn="0" w:firstRowLastColumn="0" w:lastRowFirstColumn="0" w:lastRowLastColumn="0"/>
              <w:rPr>
                <w:sz w:val="22"/>
                <w:szCs w:val="22"/>
              </w:rPr>
            </w:pPr>
            <w:r w:rsidRPr="00B02CE1">
              <w:rPr>
                <w:sz w:val="22"/>
                <w:szCs w:val="22"/>
              </w:rPr>
              <w:t>Possible Twelve Step Connection</w:t>
            </w:r>
          </w:p>
        </w:tc>
      </w:tr>
      <w:tr w:rsidR="00650201" w:rsidRPr="00B02CE1" w14:paraId="52A130C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8780D6A" w14:textId="049E5216" w:rsidR="00650201" w:rsidRPr="00B02CE1" w:rsidRDefault="00650201">
            <w:pPr>
              <w:spacing w:after="160"/>
              <w:rPr>
                <w:sz w:val="22"/>
                <w:szCs w:val="22"/>
              </w:rPr>
            </w:pPr>
            <w:r w:rsidRPr="00B02CE1">
              <w:rPr>
                <w:sz w:val="22"/>
                <w:szCs w:val="22"/>
              </w:rPr>
              <w:t>Wellness Toolbox</w:t>
            </w:r>
            <w:r w:rsidR="00BF2D2D" w:rsidRPr="00B02CE1">
              <w:rPr>
                <w:sz w:val="22"/>
                <w:szCs w:val="22"/>
              </w:rPr>
              <w:t xml:space="preserve"> (Advocates for Human Potential, n.d.-b)</w:t>
            </w:r>
          </w:p>
        </w:tc>
        <w:tc>
          <w:tcPr>
            <w:tcW w:w="0" w:type="auto"/>
            <w:hideMark/>
          </w:tcPr>
          <w:p w14:paraId="20A770DA" w14:textId="77777777" w:rsidR="00650201" w:rsidRPr="00B02CE1" w:rsidRDefault="00650201">
            <w:pPr>
              <w:spacing w:after="160"/>
              <w:cnfStyle w:val="000000100000" w:firstRow="0" w:lastRow="0" w:firstColumn="0" w:lastColumn="0" w:oddVBand="0" w:evenVBand="0" w:oddHBand="1" w:evenHBand="0" w:firstRowFirstColumn="0" w:firstRowLastColumn="0" w:lastRowFirstColumn="0" w:lastRowLastColumn="0"/>
              <w:rPr>
                <w:sz w:val="22"/>
                <w:szCs w:val="22"/>
              </w:rPr>
            </w:pPr>
            <w:r w:rsidRPr="00B02CE1">
              <w:rPr>
                <w:sz w:val="22"/>
                <w:szCs w:val="22"/>
              </w:rPr>
              <w:t>Meetings, sponsor contact, prayer or meditation, recovery literature, journaling, exercise, rest, healthy meals, service, and supportive relationships.</w:t>
            </w:r>
          </w:p>
        </w:tc>
      </w:tr>
      <w:tr w:rsidR="00650201" w:rsidRPr="00B02CE1" w14:paraId="4B2F7138"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0CD89351" w14:textId="48BFBF5A" w:rsidR="00650201" w:rsidRPr="00B02CE1" w:rsidRDefault="00650201">
            <w:pPr>
              <w:spacing w:after="160"/>
              <w:rPr>
                <w:sz w:val="22"/>
                <w:szCs w:val="22"/>
              </w:rPr>
            </w:pPr>
            <w:r w:rsidRPr="00B02CE1">
              <w:rPr>
                <w:sz w:val="22"/>
                <w:szCs w:val="22"/>
              </w:rPr>
              <w:t>Daily Plan</w:t>
            </w:r>
            <w:r w:rsidR="00BF2D2D" w:rsidRPr="00B02CE1">
              <w:rPr>
                <w:sz w:val="22"/>
                <w:szCs w:val="22"/>
              </w:rPr>
              <w:t xml:space="preserve"> (Advocates for Human Potential, n.d.-b)</w:t>
            </w:r>
          </w:p>
        </w:tc>
        <w:tc>
          <w:tcPr>
            <w:tcW w:w="0" w:type="auto"/>
            <w:hideMark/>
          </w:tcPr>
          <w:p w14:paraId="6B98422C" w14:textId="77777777" w:rsidR="00650201" w:rsidRPr="00B02CE1" w:rsidRDefault="00650201">
            <w:pPr>
              <w:spacing w:after="160"/>
              <w:cnfStyle w:val="000000000000" w:firstRow="0" w:lastRow="0" w:firstColumn="0" w:lastColumn="0" w:oddVBand="0" w:evenVBand="0" w:oddHBand="0" w:evenHBand="0" w:firstRowFirstColumn="0" w:firstRowLastColumn="0" w:lastRowFirstColumn="0" w:lastRowLastColumn="0"/>
              <w:rPr>
                <w:sz w:val="22"/>
                <w:szCs w:val="22"/>
              </w:rPr>
            </w:pPr>
            <w:r w:rsidRPr="00B02CE1">
              <w:rPr>
                <w:sz w:val="22"/>
                <w:szCs w:val="22"/>
              </w:rPr>
              <w:t>A short description of what wellness looks like today, followed by essential actions that support physical, emotional, social, and spiritual recovery.</w:t>
            </w:r>
          </w:p>
        </w:tc>
      </w:tr>
      <w:tr w:rsidR="00650201" w:rsidRPr="00B02CE1" w14:paraId="78FD275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6174616" w14:textId="7F1CC3B9" w:rsidR="00650201" w:rsidRPr="00B02CE1" w:rsidRDefault="00650201">
            <w:pPr>
              <w:spacing w:after="160"/>
              <w:rPr>
                <w:sz w:val="22"/>
                <w:szCs w:val="22"/>
              </w:rPr>
            </w:pPr>
            <w:r w:rsidRPr="00B02CE1">
              <w:rPr>
                <w:sz w:val="22"/>
                <w:szCs w:val="22"/>
              </w:rPr>
              <w:t>Triggers</w:t>
            </w:r>
            <w:r w:rsidR="00BF2D2D" w:rsidRPr="00B02CE1">
              <w:rPr>
                <w:sz w:val="22"/>
                <w:szCs w:val="22"/>
              </w:rPr>
              <w:t xml:space="preserve"> (Advocates for Human Potential, n.d.-b)</w:t>
            </w:r>
          </w:p>
        </w:tc>
        <w:tc>
          <w:tcPr>
            <w:tcW w:w="0" w:type="auto"/>
            <w:hideMark/>
          </w:tcPr>
          <w:p w14:paraId="75E8A48A" w14:textId="77777777" w:rsidR="00650201" w:rsidRPr="00B02CE1" w:rsidRDefault="00650201">
            <w:pPr>
              <w:spacing w:after="160"/>
              <w:cnfStyle w:val="000000100000" w:firstRow="0" w:lastRow="0" w:firstColumn="0" w:lastColumn="0" w:oddVBand="0" w:evenVBand="0" w:oddHBand="1" w:evenHBand="0" w:firstRowFirstColumn="0" w:firstRowLastColumn="0" w:lastRowFirstColumn="0" w:lastRowLastColumn="0"/>
              <w:rPr>
                <w:sz w:val="22"/>
                <w:szCs w:val="22"/>
              </w:rPr>
            </w:pPr>
            <w:r w:rsidRPr="00B02CE1">
              <w:rPr>
                <w:sz w:val="22"/>
                <w:szCs w:val="22"/>
              </w:rPr>
              <w:t>People, places, events, anniversaries, conflict, isolation, or stress that may increase vulnerability, along with a planned response.</w:t>
            </w:r>
          </w:p>
        </w:tc>
      </w:tr>
      <w:tr w:rsidR="00650201" w:rsidRPr="00B02CE1" w14:paraId="0ECD380C"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22DBDD8C" w14:textId="0D8D7CDB" w:rsidR="00650201" w:rsidRPr="00B02CE1" w:rsidRDefault="00650201">
            <w:pPr>
              <w:spacing w:after="160"/>
              <w:rPr>
                <w:sz w:val="22"/>
                <w:szCs w:val="22"/>
              </w:rPr>
            </w:pPr>
            <w:r w:rsidRPr="00B02CE1">
              <w:rPr>
                <w:sz w:val="22"/>
                <w:szCs w:val="22"/>
              </w:rPr>
              <w:t>Early Warning Signs</w:t>
            </w:r>
            <w:r w:rsidR="00BF2D2D" w:rsidRPr="00B02CE1">
              <w:rPr>
                <w:sz w:val="22"/>
                <w:szCs w:val="22"/>
              </w:rPr>
              <w:t xml:space="preserve"> (Advocates for Human Potential, n.d.-b)</w:t>
            </w:r>
          </w:p>
        </w:tc>
        <w:tc>
          <w:tcPr>
            <w:tcW w:w="0" w:type="auto"/>
            <w:hideMark/>
          </w:tcPr>
          <w:p w14:paraId="67CF17B4" w14:textId="77777777" w:rsidR="00650201" w:rsidRPr="00B02CE1" w:rsidRDefault="00650201">
            <w:pPr>
              <w:spacing w:after="160"/>
              <w:cnfStyle w:val="000000000000" w:firstRow="0" w:lastRow="0" w:firstColumn="0" w:lastColumn="0" w:oddVBand="0" w:evenVBand="0" w:oddHBand="0" w:evenHBand="0" w:firstRowFirstColumn="0" w:firstRowLastColumn="0" w:lastRowFirstColumn="0" w:lastRowLastColumn="0"/>
              <w:rPr>
                <w:sz w:val="22"/>
                <w:szCs w:val="22"/>
              </w:rPr>
            </w:pPr>
            <w:r w:rsidRPr="00B02CE1">
              <w:rPr>
                <w:sz w:val="22"/>
                <w:szCs w:val="22"/>
              </w:rPr>
              <w:t>Subtle changes such as withdrawing, missing meetings, disrupted sleep, resentment, secrecy, or neglecting routines.</w:t>
            </w:r>
          </w:p>
        </w:tc>
      </w:tr>
      <w:tr w:rsidR="00650201" w:rsidRPr="00B02CE1" w14:paraId="7AFB455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1EBEE29" w14:textId="77777777" w:rsidR="00650201" w:rsidRPr="00B02CE1" w:rsidRDefault="00650201">
            <w:pPr>
              <w:spacing w:after="160"/>
              <w:rPr>
                <w:sz w:val="22"/>
                <w:szCs w:val="22"/>
              </w:rPr>
            </w:pPr>
            <w:r w:rsidRPr="00B02CE1">
              <w:rPr>
                <w:sz w:val="22"/>
                <w:szCs w:val="22"/>
              </w:rPr>
              <w:t>When Things Are Breaking Down</w:t>
            </w:r>
          </w:p>
        </w:tc>
        <w:tc>
          <w:tcPr>
            <w:tcW w:w="0" w:type="auto"/>
            <w:hideMark/>
          </w:tcPr>
          <w:p w14:paraId="031C97E1" w14:textId="77777777" w:rsidR="00650201" w:rsidRPr="00B02CE1" w:rsidRDefault="00650201">
            <w:pPr>
              <w:spacing w:after="160"/>
              <w:cnfStyle w:val="000000100000" w:firstRow="0" w:lastRow="0" w:firstColumn="0" w:lastColumn="0" w:oddVBand="0" w:evenVBand="0" w:oddHBand="1" w:evenHBand="0" w:firstRowFirstColumn="0" w:firstRowLastColumn="0" w:lastRowFirstColumn="0" w:lastRowLastColumn="0"/>
              <w:rPr>
                <w:sz w:val="22"/>
                <w:szCs w:val="22"/>
              </w:rPr>
            </w:pPr>
            <w:r w:rsidRPr="00B02CE1">
              <w:rPr>
                <w:sz w:val="22"/>
                <w:szCs w:val="22"/>
              </w:rPr>
              <w:t xml:space="preserve">Clear, immediate steps such as increasing meetings, calling trusted </w:t>
            </w:r>
            <w:proofErr w:type="gramStart"/>
            <w:r w:rsidRPr="00B02CE1">
              <w:rPr>
                <w:sz w:val="22"/>
                <w:szCs w:val="22"/>
              </w:rPr>
              <w:t>supports</w:t>
            </w:r>
            <w:proofErr w:type="gramEnd"/>
            <w:r w:rsidRPr="00B02CE1">
              <w:rPr>
                <w:sz w:val="22"/>
                <w:szCs w:val="22"/>
              </w:rPr>
              <w:t>, reducing nonessential demands, and seeking professional help when needed.</w:t>
            </w:r>
          </w:p>
        </w:tc>
      </w:tr>
      <w:tr w:rsidR="00650201" w:rsidRPr="00B02CE1" w14:paraId="5B272868"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149EFF36" w14:textId="07FB9FB9" w:rsidR="00650201" w:rsidRPr="00B02CE1" w:rsidRDefault="00650201">
            <w:pPr>
              <w:spacing w:after="160"/>
              <w:rPr>
                <w:sz w:val="22"/>
                <w:szCs w:val="22"/>
              </w:rPr>
            </w:pPr>
            <w:r w:rsidRPr="00B02CE1">
              <w:rPr>
                <w:sz w:val="22"/>
                <w:szCs w:val="22"/>
              </w:rPr>
              <w:t>Crisis and Post-Crisis Planning</w:t>
            </w:r>
            <w:r w:rsidR="00BF2D2D" w:rsidRPr="00B02CE1">
              <w:rPr>
                <w:sz w:val="22"/>
                <w:szCs w:val="22"/>
              </w:rPr>
              <w:t xml:space="preserve"> (Advocates for Human Potential, n.d.-b)</w:t>
            </w:r>
          </w:p>
        </w:tc>
        <w:tc>
          <w:tcPr>
            <w:tcW w:w="0" w:type="auto"/>
            <w:hideMark/>
          </w:tcPr>
          <w:p w14:paraId="32B16973" w14:textId="77777777" w:rsidR="00650201" w:rsidRPr="00B02CE1" w:rsidRDefault="00650201">
            <w:pPr>
              <w:spacing w:after="160"/>
              <w:cnfStyle w:val="000000000000" w:firstRow="0" w:lastRow="0" w:firstColumn="0" w:lastColumn="0" w:oddVBand="0" w:evenVBand="0" w:oddHBand="0" w:evenHBand="0" w:firstRowFirstColumn="0" w:firstRowLastColumn="0" w:lastRowFirstColumn="0" w:lastRowLastColumn="0"/>
              <w:rPr>
                <w:sz w:val="22"/>
                <w:szCs w:val="22"/>
              </w:rPr>
            </w:pPr>
            <w:r w:rsidRPr="00B02CE1">
              <w:rPr>
                <w:sz w:val="22"/>
                <w:szCs w:val="22"/>
              </w:rPr>
              <w:t>Preferences for support, important contacts, care needs, and a gradual return to recovery routines after a crisis.</w:t>
            </w:r>
          </w:p>
        </w:tc>
      </w:tr>
    </w:tbl>
    <w:p w14:paraId="14271170" w14:textId="77777777" w:rsidR="00650201" w:rsidRDefault="00650201"/>
    <w:p w14:paraId="1DDAF49C" w14:textId="77777777" w:rsidR="00650201" w:rsidRPr="00564CB6" w:rsidRDefault="00650201">
      <w:pPr>
        <w:pStyle w:val="Heading1"/>
        <w:rPr>
          <w:rFonts w:cstheme="minorBidi"/>
          <w:b/>
          <w:bCs/>
        </w:rPr>
      </w:pPr>
      <w:r w:rsidRPr="00564CB6">
        <w:rPr>
          <w:rFonts w:cstheme="minorBidi"/>
          <w:b/>
          <w:bCs/>
        </w:rPr>
        <w:t>A Simple Way to Integrate Both Approaches</w:t>
      </w:r>
    </w:p>
    <w:p w14:paraId="6FD12468" w14:textId="5B2B3E98" w:rsidR="00650201" w:rsidRDefault="00650201" w:rsidP="00650201">
      <w:pPr>
        <w:pStyle w:val="ListParagraph"/>
        <w:numPr>
          <w:ilvl w:val="0"/>
          <w:numId w:val="2"/>
        </w:numPr>
      </w:pPr>
      <w:r w:rsidRPr="00650201">
        <w:rPr>
          <w:b/>
          <w:bCs/>
        </w:rPr>
        <w:t>Begin the day with a brief check-in.</w:t>
      </w:r>
      <w:r>
        <w:t xml:space="preserve"> Ask, “What does wellness look like for me today?” and choose several realistic actions from the Wellness Toolbox.</w:t>
      </w:r>
      <w:r w:rsidR="00BF2D2D">
        <w:t xml:space="preserve"> (Advocates for Human Potential, n.d.-b)</w:t>
      </w:r>
    </w:p>
    <w:p w14:paraId="456E9980" w14:textId="77777777" w:rsidR="00650201" w:rsidRDefault="00650201" w:rsidP="00650201">
      <w:pPr>
        <w:pStyle w:val="ListParagraph"/>
        <w:numPr>
          <w:ilvl w:val="0"/>
          <w:numId w:val="2"/>
        </w:numPr>
      </w:pPr>
      <w:r>
        <w:rPr>
          <w:b/>
          <w:bCs/>
        </w:rPr>
        <w:t>Connect the plan to current Step work.</w:t>
      </w:r>
      <w:r>
        <w:t xml:space="preserve"> For example, an </w:t>
      </w:r>
      <w:proofErr w:type="gramStart"/>
      <w:r>
        <w:t>amends</w:t>
      </w:r>
      <w:proofErr w:type="gramEnd"/>
      <w:r>
        <w:t xml:space="preserve"> process may call for additional support, rest, boundaries, and consultation with a sponsor.</w:t>
      </w:r>
    </w:p>
    <w:p w14:paraId="3F0396BF" w14:textId="250D2483" w:rsidR="00650201" w:rsidRDefault="00650201" w:rsidP="00650201">
      <w:pPr>
        <w:pStyle w:val="ListParagraph"/>
        <w:numPr>
          <w:ilvl w:val="0"/>
          <w:numId w:val="2"/>
        </w:numPr>
      </w:pPr>
      <w:r>
        <w:rPr>
          <w:b/>
          <w:bCs/>
        </w:rPr>
        <w:t>Review triggers and warning signs.</w:t>
      </w:r>
      <w:r>
        <w:t xml:space="preserve"> Decide in advance which meeting, person, place, or healthy activity will be used if those signs appear.</w:t>
      </w:r>
      <w:r w:rsidR="00BF2D2D">
        <w:t xml:space="preserve"> (Advocates for Human Potential, n.d.-b)</w:t>
      </w:r>
    </w:p>
    <w:p w14:paraId="07BAEFA9" w14:textId="48705633" w:rsidR="00650201" w:rsidRDefault="00650201" w:rsidP="00650201">
      <w:pPr>
        <w:pStyle w:val="ListParagraph"/>
        <w:numPr>
          <w:ilvl w:val="0"/>
          <w:numId w:val="2"/>
        </w:numPr>
      </w:pPr>
      <w:r>
        <w:rPr>
          <w:b/>
          <w:bCs/>
        </w:rPr>
        <w:t>Use the recovery network.</w:t>
      </w:r>
      <w:r>
        <w:t xml:space="preserve"> Share relevant parts of the plan with a sponsor, peer, clinician, family member, or other trusted supporter, according to personal preference.</w:t>
      </w:r>
      <w:r w:rsidR="00BF2D2D">
        <w:t xml:space="preserve"> (Humphreys et al., 2020; Kelly et al., 2020)</w:t>
      </w:r>
    </w:p>
    <w:p w14:paraId="2988EACE" w14:textId="77777777" w:rsidR="00650201" w:rsidRDefault="00650201" w:rsidP="00650201">
      <w:pPr>
        <w:pStyle w:val="ListParagraph"/>
        <w:numPr>
          <w:ilvl w:val="0"/>
          <w:numId w:val="2"/>
        </w:numPr>
      </w:pPr>
      <w:r>
        <w:rPr>
          <w:b/>
          <w:bCs/>
        </w:rPr>
        <w:t>Close the day with reflection.</w:t>
      </w:r>
      <w:r>
        <w:t xml:space="preserve"> Note what helped, what was difficult, whether any repair is needed, and what should be adjusted tomorrow.</w:t>
      </w:r>
    </w:p>
    <w:p w14:paraId="5D2F24B7" w14:textId="77777777" w:rsidR="00BF2D2D" w:rsidRPr="00B02CE1" w:rsidRDefault="00BF2D2D">
      <w:pPr>
        <w:pStyle w:val="Heading1"/>
        <w:rPr>
          <w:rFonts w:cstheme="minorBidi"/>
          <w:b/>
          <w:bCs/>
        </w:rPr>
      </w:pPr>
      <w:r w:rsidRPr="00B02CE1">
        <w:rPr>
          <w:rFonts w:cstheme="minorBidi"/>
          <w:b/>
          <w:bCs/>
        </w:rPr>
        <w:lastRenderedPageBreak/>
        <w:t>What Peer-Reviewed Research Suggests</w:t>
      </w:r>
    </w:p>
    <w:p w14:paraId="00F3A2A8" w14:textId="77777777" w:rsidR="00BF2D2D" w:rsidRDefault="00BF2D2D" w:rsidP="00B02CE1">
      <w:pPr>
        <w:jc w:val="both"/>
      </w:pPr>
      <w:r>
        <w:t>Peer-reviewed evidence supports several elements of this combined approach, although research has generally evaluated WRAP and Twelve Step programs separately rather than as an integrated intervention. Randomized trials of peer-led WRAP found improvements in self-perceived recovery, hope, quality of life, and some psychiatric symptoms; a later meta-analysis found a small positive effect on personal recovery, with more limited and less durable evidence for symptom reduction (</w:t>
      </w:r>
      <w:proofErr w:type="spellStart"/>
      <w:r>
        <w:t>Canacott</w:t>
      </w:r>
      <w:proofErr w:type="spellEnd"/>
      <w:r>
        <w:t xml:space="preserve"> et al., 2019; Cook et al., 2012a, 2012b). A Cochrane review found that Alcoholics Anonymous and professionally delivered Twelve Step Facilitation performed at least as well as other established treatments on most alcohol-related outcomes and often produced higher continuous abstinence rates (Kelly et al., 2020). Research across six clinical trials also found that greater Twelve Step mutual-help attendance was associated with fewer alcohol- and drug-related problems, while noting that causal interpretation is limited by self-selection and difficulty increasing sustained participation (Humphreys et al., 2020). These findings support using WRAP as a structured self-management aid alongside—not as a replacement for—peer fellowship and appropriate clinical care.</w:t>
      </w:r>
    </w:p>
    <w:p w14:paraId="395FCB57" w14:textId="77777777" w:rsidR="00650201" w:rsidRPr="00B02CE1" w:rsidRDefault="00650201">
      <w:pPr>
        <w:pStyle w:val="Heading1"/>
        <w:rPr>
          <w:rFonts w:cstheme="minorBidi"/>
          <w:b/>
          <w:bCs/>
        </w:rPr>
      </w:pPr>
      <w:r w:rsidRPr="00B02CE1">
        <w:rPr>
          <w:rFonts w:cstheme="minorBidi"/>
          <w:b/>
          <w:bCs/>
        </w:rPr>
        <w:t>Important Boundaries</w:t>
      </w:r>
    </w:p>
    <w:p w14:paraId="7C3FCA50" w14:textId="043E8086" w:rsidR="00650201" w:rsidRDefault="00650201" w:rsidP="00E45BE6">
      <w:pPr>
        <w:jc w:val="both"/>
      </w:pPr>
      <w:r>
        <w:t>WRAP and Twelve Step participation can complement professional care, but neither should be treated as a substitute for medical, psychiatric, or emergency services. The individual decides what belongs in the plan and whom to involve. Sponsors and peers can provide experience and support, while licensed professionals address clinical needs. If there is immediate danger, severe withdrawal, risk of harm, or an acute mental health crisis, emergency or qualified professional assistance is appropriate.</w:t>
      </w:r>
      <w:r w:rsidR="00BF2D2D">
        <w:t xml:space="preserve"> (Nowinski et al., 1999)</w:t>
      </w:r>
    </w:p>
    <w:p w14:paraId="69772978" w14:textId="77777777" w:rsidR="00650201" w:rsidRPr="00B02CE1" w:rsidRDefault="00650201">
      <w:pPr>
        <w:pStyle w:val="Heading1"/>
        <w:rPr>
          <w:rFonts w:cstheme="minorBidi"/>
          <w:b/>
          <w:bCs/>
        </w:rPr>
      </w:pPr>
      <w:r w:rsidRPr="00B02CE1">
        <w:rPr>
          <w:rFonts w:cstheme="minorBidi"/>
          <w:b/>
          <w:bCs/>
        </w:rPr>
        <w:t>Personal WRAP–Twelve Step Planning Prompts</w:t>
      </w:r>
    </w:p>
    <w:p w14:paraId="0413EF4F" w14:textId="77777777" w:rsidR="00650201" w:rsidRDefault="00650201" w:rsidP="00650201">
      <w:pPr>
        <w:pStyle w:val="ListParagraph"/>
        <w:numPr>
          <w:ilvl w:val="0"/>
          <w:numId w:val="3"/>
        </w:numPr>
      </w:pPr>
      <w:r>
        <w:t>When I am well, I notice these qualities and routines: ____________________.</w:t>
      </w:r>
    </w:p>
    <w:p w14:paraId="0BD05E27" w14:textId="77777777" w:rsidR="00650201" w:rsidRDefault="00650201" w:rsidP="00650201">
      <w:pPr>
        <w:pStyle w:val="ListParagraph"/>
        <w:numPr>
          <w:ilvl w:val="0"/>
          <w:numId w:val="3"/>
        </w:numPr>
      </w:pPr>
      <w:r>
        <w:t>The recovery tools that help me most are: ____________________.</w:t>
      </w:r>
    </w:p>
    <w:p w14:paraId="53B8B756" w14:textId="77777777" w:rsidR="00650201" w:rsidRDefault="00650201" w:rsidP="00650201">
      <w:pPr>
        <w:pStyle w:val="ListParagraph"/>
        <w:numPr>
          <w:ilvl w:val="0"/>
          <w:numId w:val="3"/>
        </w:numPr>
      </w:pPr>
      <w:r>
        <w:t>My most reliable sources of support are: ____________________.</w:t>
      </w:r>
    </w:p>
    <w:p w14:paraId="705E4EC8" w14:textId="16F59D02" w:rsidR="00650201" w:rsidRDefault="00650201" w:rsidP="00650201">
      <w:pPr>
        <w:pStyle w:val="ListParagraph"/>
        <w:numPr>
          <w:ilvl w:val="0"/>
          <w:numId w:val="3"/>
        </w:numPr>
      </w:pPr>
      <w:r>
        <w:t>Triggers I want to prepare for include: ____________________.</w:t>
      </w:r>
    </w:p>
    <w:p w14:paraId="6D01481D" w14:textId="77777777" w:rsidR="00650201" w:rsidRDefault="00650201" w:rsidP="00650201">
      <w:pPr>
        <w:pStyle w:val="ListParagraph"/>
        <w:numPr>
          <w:ilvl w:val="0"/>
          <w:numId w:val="3"/>
        </w:numPr>
      </w:pPr>
      <w:r>
        <w:t>My early warning signs may include: ____________________.</w:t>
      </w:r>
    </w:p>
    <w:p w14:paraId="65386B4E" w14:textId="77777777" w:rsidR="00650201" w:rsidRDefault="00650201" w:rsidP="00650201">
      <w:pPr>
        <w:pStyle w:val="ListParagraph"/>
        <w:numPr>
          <w:ilvl w:val="0"/>
          <w:numId w:val="3"/>
        </w:numPr>
      </w:pPr>
      <w:r>
        <w:t>If warning signs appear, I will: ____________________.</w:t>
      </w:r>
    </w:p>
    <w:p w14:paraId="40798965" w14:textId="77777777" w:rsidR="00650201" w:rsidRDefault="00650201" w:rsidP="00650201">
      <w:pPr>
        <w:pStyle w:val="ListParagraph"/>
        <w:numPr>
          <w:ilvl w:val="0"/>
          <w:numId w:val="3"/>
        </w:numPr>
      </w:pPr>
      <w:r>
        <w:t>If the situation becomes urgent, I want the following people contacted: ____________________.</w:t>
      </w:r>
    </w:p>
    <w:p w14:paraId="1198BD6A" w14:textId="77777777" w:rsidR="00650201" w:rsidRDefault="00650201" w:rsidP="00650201">
      <w:pPr>
        <w:pStyle w:val="ListParagraph"/>
        <w:numPr>
          <w:ilvl w:val="0"/>
          <w:numId w:val="3"/>
        </w:numPr>
      </w:pPr>
      <w:r>
        <w:t>After a difficult period, I can return gradually to wellness by: ____________________.</w:t>
      </w:r>
    </w:p>
    <w:p w14:paraId="2745C2BC" w14:textId="77777777" w:rsidR="00650201" w:rsidRPr="00B02CE1" w:rsidRDefault="00650201">
      <w:pPr>
        <w:pStyle w:val="Heading1"/>
        <w:rPr>
          <w:rFonts w:cstheme="minorBidi"/>
          <w:b/>
          <w:bCs/>
        </w:rPr>
      </w:pPr>
      <w:r w:rsidRPr="00B02CE1">
        <w:rPr>
          <w:rFonts w:cstheme="minorBidi"/>
          <w:b/>
          <w:bCs/>
        </w:rPr>
        <w:lastRenderedPageBreak/>
        <w:t>Conclusion</w:t>
      </w:r>
    </w:p>
    <w:p w14:paraId="10A0A20A" w14:textId="416ED31F" w:rsidR="00650201" w:rsidRDefault="00650201" w:rsidP="00B02CE1">
      <w:pPr>
        <w:jc w:val="both"/>
      </w:pPr>
      <w:r>
        <w:t>WRAP can strengthen Twelve Step practice by turning insight into a clear, individualized plan for daily wellness, early intervention, connection, and crisis preparation. The combined approach supports both personal agency and fellowship: the individual identifies what works, remains attentive to changing needs, and reaches for help before challenges become unmanageable.</w:t>
      </w:r>
      <w:r w:rsidR="00BF2D2D">
        <w:t xml:space="preserve"> (Advocates for Human Potential, n.d.-b) (</w:t>
      </w:r>
      <w:proofErr w:type="spellStart"/>
      <w:r w:rsidR="00BF2D2D">
        <w:t>Canacott</w:t>
      </w:r>
      <w:proofErr w:type="spellEnd"/>
      <w:r w:rsidR="00BF2D2D">
        <w:t xml:space="preserve"> et al., 2019; Cook et al., 2012a, 2012b; Kelly et al., 2020)</w:t>
      </w:r>
    </w:p>
    <w:p w14:paraId="10DAFED1" w14:textId="3C6E573E" w:rsidR="00BF2D2D" w:rsidRDefault="00BF2D2D" w:rsidP="00BF2D2D">
      <w:pPr>
        <w:pStyle w:val="Heading1"/>
      </w:pPr>
      <w:r>
        <w:t>References</w:t>
      </w:r>
    </w:p>
    <w:p w14:paraId="0A672679" w14:textId="17E13191" w:rsidR="00BF2D2D" w:rsidRPr="00BF2D2D" w:rsidRDefault="00BF2D2D" w:rsidP="00BF2D2D">
      <w:pPr>
        <w:ind w:left="720" w:hanging="720"/>
      </w:pPr>
      <w:r w:rsidRPr="00BF2D2D">
        <w:t>Advocates for Human Potential. (n.d.-a). The way WRAP works. Wellness Recovery Action Plan.</w:t>
      </w:r>
      <w:r>
        <w:t xml:space="preserve"> https://www.wellnessrecoveryactionplan.com/what-is-wrap/the-way-wrap-works/</w:t>
      </w:r>
    </w:p>
    <w:p w14:paraId="533D1C78" w14:textId="353756BA" w:rsidR="00BF2D2D" w:rsidRPr="00BF2D2D" w:rsidRDefault="00BF2D2D" w:rsidP="00BF2D2D">
      <w:pPr>
        <w:ind w:left="720" w:hanging="720"/>
      </w:pPr>
      <w:r w:rsidRPr="00BF2D2D">
        <w:t>Advocates for Human Potential. (n.d.-b). What is WRAP? Wellness Recovery Action Plan.</w:t>
      </w:r>
      <w:r>
        <w:t xml:space="preserve"> https://www.wellnessrecoveryactionplan.com/what-is-wrap/</w:t>
      </w:r>
    </w:p>
    <w:p w14:paraId="00922F2B" w14:textId="2706E940" w:rsidR="00BF2D2D" w:rsidRPr="00BF2D2D" w:rsidRDefault="00BF2D2D" w:rsidP="00BF2D2D">
      <w:pPr>
        <w:ind w:left="720" w:hanging="720"/>
      </w:pPr>
      <w:r w:rsidRPr="00BF2D2D">
        <w:t>Alcoholics Anonymous World Services, Inc. (n.d.-a). The Twelve Steps.</w:t>
      </w:r>
      <w:r>
        <w:t xml:space="preserve"> https://www.aa.org/the-twelve-steps</w:t>
      </w:r>
    </w:p>
    <w:p w14:paraId="0697708F" w14:textId="4F2F0142" w:rsidR="00BF2D2D" w:rsidRPr="00BF2D2D" w:rsidRDefault="00BF2D2D" w:rsidP="00BF2D2D">
      <w:pPr>
        <w:ind w:left="720" w:hanging="720"/>
      </w:pPr>
      <w:r w:rsidRPr="00BF2D2D">
        <w:t>Alcoholics Anonymous World Services, Inc. (n.d.-b). Step Ten.</w:t>
      </w:r>
      <w:r>
        <w:t xml:space="preserve"> https://www.aa.org/sites/default/files/2022-01/en_step10_0.pdf</w:t>
      </w:r>
    </w:p>
    <w:p w14:paraId="4CA770F7" w14:textId="77777777" w:rsidR="00BF2D2D" w:rsidRPr="00BF2D2D" w:rsidRDefault="00BF2D2D" w:rsidP="00BF2D2D">
      <w:pPr>
        <w:ind w:left="720" w:hanging="720"/>
      </w:pPr>
      <w:proofErr w:type="spellStart"/>
      <w:r w:rsidRPr="00BF2D2D">
        <w:t>Canacott</w:t>
      </w:r>
      <w:proofErr w:type="spellEnd"/>
      <w:r w:rsidRPr="00BF2D2D">
        <w:t>, L., Moghaddam, N., &amp; Tickle, A. (2019). Is the Wellness Recovery Action Plan (WRAP) efficacious for improving personal and clinical recovery outcomes? A systematic review and meta-analysis. Psychiatric Rehabilitation Journal, 42(4), 372–381. https://doi.org/10.1037/prj0000368</w:t>
      </w:r>
    </w:p>
    <w:p w14:paraId="67B23FC4" w14:textId="77777777" w:rsidR="00BF2D2D" w:rsidRPr="00BF2D2D" w:rsidRDefault="00BF2D2D" w:rsidP="00BF2D2D">
      <w:pPr>
        <w:ind w:left="720" w:hanging="720"/>
      </w:pPr>
      <w:r w:rsidRPr="00BF2D2D">
        <w:t xml:space="preserve">Cook, J. A., Copeland, M. E., Floyd, C. B., </w:t>
      </w:r>
      <w:proofErr w:type="spellStart"/>
      <w:r w:rsidRPr="00BF2D2D">
        <w:t>Jonikas</w:t>
      </w:r>
      <w:proofErr w:type="spellEnd"/>
      <w:r w:rsidRPr="00BF2D2D">
        <w:t>, J. A., Hamilton, M. M., Razzano, L. A., Carter, T. M., Hudson, W. B., Grey, D. D., &amp; Boyd, S. (2012b). A randomized controlled trial of effects of Wellness Recovery Action Planning on depression, anxiety, and recovery. Psychiatric Services, 63(6), 541–547. https://doi.org/10.1176/appi.ps.201100125</w:t>
      </w:r>
    </w:p>
    <w:p w14:paraId="57BB9113" w14:textId="1A847CBE" w:rsidR="00BF2D2D" w:rsidRPr="00BF2D2D" w:rsidRDefault="00BF2D2D" w:rsidP="00BF2D2D">
      <w:pPr>
        <w:ind w:left="720" w:hanging="720"/>
      </w:pPr>
      <w:r w:rsidRPr="00BF2D2D">
        <w:t xml:space="preserve">Cook, J. A., Copeland, M. E., </w:t>
      </w:r>
      <w:proofErr w:type="spellStart"/>
      <w:r w:rsidRPr="00BF2D2D">
        <w:t>Jonikas</w:t>
      </w:r>
      <w:proofErr w:type="spellEnd"/>
      <w:r w:rsidRPr="00BF2D2D">
        <w:t xml:space="preserve">, J. A., Hamilton, M. M., Razzano, L. A., Grey, D. D., Floyd, C. B., Hudson, W. B., Macfarlane, R. T., Carter, </w:t>
      </w:r>
      <w:proofErr w:type="gramStart"/>
      <w:r w:rsidRPr="00BF2D2D">
        <w:t>T. M</w:t>
      </w:r>
      <w:proofErr w:type="gramEnd"/>
      <w:r w:rsidRPr="00BF2D2D">
        <w:t>., &amp; Boyd, S. (2012a). Results of a randomized controlled trial of mental illness self-management using Wellness Recovery Action Planning. Schizophrenia Bulletin, 38(4), 881–891. https://doi.org/10.1093/schbul/sbr012</w:t>
      </w:r>
    </w:p>
    <w:p w14:paraId="508189FD" w14:textId="77777777" w:rsidR="00BF2D2D" w:rsidRPr="00BF2D2D" w:rsidRDefault="00BF2D2D" w:rsidP="00BF2D2D">
      <w:pPr>
        <w:ind w:left="720" w:hanging="720"/>
      </w:pPr>
      <w:r w:rsidRPr="00BF2D2D">
        <w:lastRenderedPageBreak/>
        <w:t>Humphreys, K., Barreto, N. B., Alessi, S. M., Carroll, K. M., Crits-Christoph, P., Donovan, D. M., Kelly, J. F., Schottenfeld, R. S., Timko, C., &amp; Wagner, T. H. (2020). Impact of 12 Step Mutual Help Groups on drug use disorder patients across six clinical trials. Drug and Alcohol Dependence, 215, 108213. https://doi.org/10.1016/j.drugalcdep.2020.108213</w:t>
      </w:r>
    </w:p>
    <w:p w14:paraId="0BEED573" w14:textId="77777777" w:rsidR="00BF2D2D" w:rsidRPr="00BF2D2D" w:rsidRDefault="00BF2D2D" w:rsidP="00BF2D2D">
      <w:pPr>
        <w:ind w:left="720" w:hanging="720"/>
      </w:pPr>
      <w:r w:rsidRPr="00BF2D2D">
        <w:t>Kelly, J. F., Humphreys, K., &amp; Ferri, M. (2020). Alcoholics Anonymous and other 12-step programs for alcohol use disorder. Cochrane Database of Systematic Reviews, 2020(3), CD012880. https://doi.org/10.1002/14651858.CD012880.pub2</w:t>
      </w:r>
    </w:p>
    <w:p w14:paraId="0CDA6A1B" w14:textId="177F5BBB" w:rsidR="00BF2D2D" w:rsidRPr="00BF2D2D" w:rsidRDefault="00BF2D2D" w:rsidP="00BF2D2D">
      <w:pPr>
        <w:ind w:left="720" w:hanging="720"/>
      </w:pPr>
      <w:r w:rsidRPr="00BF2D2D">
        <w:t xml:space="preserve">Nowinski, J., Baker, S., &amp; Carroll, K. (1999). Twelve Step Facilitation Therapy Manual: A Clinical Research Guide for Therapists Treating Individuals </w:t>
      </w:r>
      <w:proofErr w:type="gramStart"/>
      <w:r w:rsidRPr="00BF2D2D">
        <w:t>With</w:t>
      </w:r>
      <w:proofErr w:type="gramEnd"/>
      <w:r w:rsidRPr="00BF2D2D">
        <w:t xml:space="preserve"> Alcohol Abuse and Dependence (Project MATCH Monograph Series, Vol. 1; NIH Publication No. 94-3722). National Institute on Alcohol Abuse and Alcoholism.</w:t>
      </w:r>
      <w:r>
        <w:t xml:space="preserve"> https://www.niaaa.nih.gov/sites/default/files/match01.pdf</w:t>
      </w:r>
    </w:p>
    <w:p w14:paraId="040C879E" w14:textId="72CDE253" w:rsidR="00BF2D2D" w:rsidRPr="00BF2D2D" w:rsidRDefault="00BF2D2D" w:rsidP="00BF2D2D">
      <w:pPr>
        <w:ind w:left="720" w:hanging="720"/>
      </w:pPr>
      <w:r w:rsidRPr="00BF2D2D">
        <w:t>Substance Abuse and Mental Health Services Administration. (2026, June 25). Recovery and support.</w:t>
      </w:r>
      <w:r>
        <w:t xml:space="preserve"> https://www.samhsa.gov/substance-use/recovery</w:t>
      </w:r>
    </w:p>
    <w:p w14:paraId="793EB751" w14:textId="352C6ADE" w:rsidR="00A371DC" w:rsidRDefault="00A371DC"/>
    <w:sectPr w:rsidR="00A371D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0A268" w14:textId="77777777" w:rsidR="00314A21" w:rsidRDefault="00314A21" w:rsidP="00B35FBB">
      <w:pPr>
        <w:spacing w:after="0" w:line="240" w:lineRule="auto"/>
      </w:pPr>
      <w:r>
        <w:separator/>
      </w:r>
    </w:p>
  </w:endnote>
  <w:endnote w:type="continuationSeparator" w:id="0">
    <w:p w14:paraId="7A572D89" w14:textId="77777777" w:rsidR="00314A21" w:rsidRDefault="00314A21" w:rsidP="00B35F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8D5AD" w14:textId="77777777" w:rsidR="00314A21" w:rsidRDefault="00314A21" w:rsidP="00B35FBB">
      <w:pPr>
        <w:spacing w:after="0" w:line="240" w:lineRule="auto"/>
      </w:pPr>
      <w:r>
        <w:separator/>
      </w:r>
    </w:p>
  </w:footnote>
  <w:footnote w:type="continuationSeparator" w:id="0">
    <w:p w14:paraId="6800F0C8" w14:textId="77777777" w:rsidR="00314A21" w:rsidRDefault="00314A21" w:rsidP="00B35F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3043111"/>
      <w:docPartObj>
        <w:docPartGallery w:val="Page Numbers (Top of Page)"/>
        <w:docPartUnique/>
      </w:docPartObj>
    </w:sdtPr>
    <w:sdtEndPr>
      <w:rPr>
        <w:noProof/>
      </w:rPr>
    </w:sdtEndPr>
    <w:sdtContent>
      <w:p w14:paraId="67893FCC" w14:textId="10E0D78A" w:rsidR="00B35FBB" w:rsidRDefault="00B35FB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9A6E7CF" w14:textId="77777777" w:rsidR="00B35FBB" w:rsidRDefault="00B35F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E06CC"/>
    <w:multiLevelType w:val="multilevel"/>
    <w:tmpl w:val="FF227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FD5123"/>
    <w:multiLevelType w:val="multilevel"/>
    <w:tmpl w:val="CEE01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7D723B"/>
    <w:multiLevelType w:val="multilevel"/>
    <w:tmpl w:val="10D65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3099041">
    <w:abstractNumId w:val="2"/>
  </w:num>
  <w:num w:numId="2" w16cid:durableId="437332633">
    <w:abstractNumId w:val="0"/>
  </w:num>
  <w:num w:numId="3" w16cid:durableId="7244556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1DC"/>
    <w:rsid w:val="00184608"/>
    <w:rsid w:val="00250772"/>
    <w:rsid w:val="002F7F7E"/>
    <w:rsid w:val="00314A21"/>
    <w:rsid w:val="003A462E"/>
    <w:rsid w:val="004401C2"/>
    <w:rsid w:val="00564CB6"/>
    <w:rsid w:val="00650201"/>
    <w:rsid w:val="007C360D"/>
    <w:rsid w:val="007F0E5B"/>
    <w:rsid w:val="009609B0"/>
    <w:rsid w:val="009F52A0"/>
    <w:rsid w:val="00A371DC"/>
    <w:rsid w:val="00A705E2"/>
    <w:rsid w:val="00B02CE1"/>
    <w:rsid w:val="00B35FBB"/>
    <w:rsid w:val="00BF2D2D"/>
    <w:rsid w:val="00BF7B45"/>
    <w:rsid w:val="00D126BB"/>
    <w:rsid w:val="00D16BED"/>
    <w:rsid w:val="00D66985"/>
    <w:rsid w:val="00E45BE6"/>
    <w:rsid w:val="00EE3A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3AE0B"/>
  <w15:chartTrackingRefBased/>
  <w15:docId w15:val="{B0B53BD4-50C6-4908-9619-1724E2121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71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71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71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71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71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71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71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71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71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71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71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71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71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71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71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71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71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71DC"/>
    <w:rPr>
      <w:rFonts w:eastAsiaTheme="majorEastAsia" w:cstheme="majorBidi"/>
      <w:color w:val="272727" w:themeColor="text1" w:themeTint="D8"/>
    </w:rPr>
  </w:style>
  <w:style w:type="paragraph" w:styleId="Title">
    <w:name w:val="Title"/>
    <w:basedOn w:val="Normal"/>
    <w:next w:val="Normal"/>
    <w:link w:val="TitleChar"/>
    <w:uiPriority w:val="10"/>
    <w:qFormat/>
    <w:rsid w:val="00A371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71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71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71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71DC"/>
    <w:pPr>
      <w:spacing w:before="160"/>
      <w:jc w:val="center"/>
    </w:pPr>
    <w:rPr>
      <w:i/>
      <w:iCs/>
      <w:color w:val="404040" w:themeColor="text1" w:themeTint="BF"/>
    </w:rPr>
  </w:style>
  <w:style w:type="character" w:customStyle="1" w:styleId="QuoteChar">
    <w:name w:val="Quote Char"/>
    <w:basedOn w:val="DefaultParagraphFont"/>
    <w:link w:val="Quote"/>
    <w:uiPriority w:val="29"/>
    <w:rsid w:val="00A371DC"/>
    <w:rPr>
      <w:i/>
      <w:iCs/>
      <w:color w:val="404040" w:themeColor="text1" w:themeTint="BF"/>
    </w:rPr>
  </w:style>
  <w:style w:type="paragraph" w:styleId="ListParagraph">
    <w:name w:val="List Paragraph"/>
    <w:basedOn w:val="Normal"/>
    <w:uiPriority w:val="34"/>
    <w:qFormat/>
    <w:rsid w:val="00A371DC"/>
    <w:pPr>
      <w:ind w:left="720"/>
      <w:contextualSpacing/>
    </w:pPr>
  </w:style>
  <w:style w:type="character" w:styleId="IntenseEmphasis">
    <w:name w:val="Intense Emphasis"/>
    <w:basedOn w:val="DefaultParagraphFont"/>
    <w:uiPriority w:val="21"/>
    <w:qFormat/>
    <w:rsid w:val="00A371DC"/>
    <w:rPr>
      <w:i/>
      <w:iCs/>
      <w:color w:val="0F4761" w:themeColor="accent1" w:themeShade="BF"/>
    </w:rPr>
  </w:style>
  <w:style w:type="paragraph" w:styleId="IntenseQuote">
    <w:name w:val="Intense Quote"/>
    <w:basedOn w:val="Normal"/>
    <w:next w:val="Normal"/>
    <w:link w:val="IntenseQuoteChar"/>
    <w:uiPriority w:val="30"/>
    <w:qFormat/>
    <w:rsid w:val="00A371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71DC"/>
    <w:rPr>
      <w:i/>
      <w:iCs/>
      <w:color w:val="0F4761" w:themeColor="accent1" w:themeShade="BF"/>
    </w:rPr>
  </w:style>
  <w:style w:type="character" w:styleId="IntenseReference">
    <w:name w:val="Intense Reference"/>
    <w:basedOn w:val="DefaultParagraphFont"/>
    <w:uiPriority w:val="32"/>
    <w:qFormat/>
    <w:rsid w:val="00A371DC"/>
    <w:rPr>
      <w:b/>
      <w:bCs/>
      <w:smallCaps/>
      <w:color w:val="0F4761" w:themeColor="accent1" w:themeShade="BF"/>
      <w:spacing w:val="5"/>
    </w:rPr>
  </w:style>
  <w:style w:type="character" w:styleId="BookTitle">
    <w:name w:val="Book Title"/>
    <w:basedOn w:val="DefaultParagraphFont"/>
    <w:uiPriority w:val="33"/>
    <w:qFormat/>
    <w:rsid w:val="00A371DC"/>
    <w:rPr>
      <w:b/>
      <w:bCs/>
      <w:i/>
      <w:iCs/>
      <w:spacing w:val="5"/>
    </w:rPr>
  </w:style>
  <w:style w:type="paragraph" w:styleId="Caption">
    <w:name w:val="caption"/>
    <w:basedOn w:val="Normal"/>
    <w:next w:val="Normal"/>
    <w:uiPriority w:val="35"/>
    <w:semiHidden/>
    <w:unhideWhenUsed/>
    <w:qFormat/>
    <w:rsid w:val="00A371DC"/>
    <w:pPr>
      <w:spacing w:after="200" w:line="240" w:lineRule="auto"/>
    </w:pPr>
    <w:rPr>
      <w:i/>
      <w:iCs/>
      <w:color w:val="0E2841" w:themeColor="text2"/>
      <w:sz w:val="18"/>
      <w:szCs w:val="18"/>
    </w:rPr>
  </w:style>
  <w:style w:type="character" w:styleId="Emphasis">
    <w:name w:val="Emphasis"/>
    <w:basedOn w:val="DefaultParagraphFont"/>
    <w:uiPriority w:val="20"/>
    <w:qFormat/>
    <w:rsid w:val="00A371DC"/>
    <w:rPr>
      <w:i/>
      <w:iCs/>
    </w:rPr>
  </w:style>
  <w:style w:type="paragraph" w:styleId="NoSpacing">
    <w:name w:val="No Spacing"/>
    <w:uiPriority w:val="1"/>
    <w:qFormat/>
    <w:rsid w:val="00A371DC"/>
    <w:pPr>
      <w:spacing w:after="0" w:line="240" w:lineRule="auto"/>
    </w:pPr>
  </w:style>
  <w:style w:type="character" w:styleId="Strong">
    <w:name w:val="Strong"/>
    <w:basedOn w:val="DefaultParagraphFont"/>
    <w:uiPriority w:val="22"/>
    <w:qFormat/>
    <w:rsid w:val="00A371DC"/>
    <w:rPr>
      <w:b/>
      <w:bCs/>
    </w:rPr>
  </w:style>
  <w:style w:type="character" w:styleId="SubtleEmphasis">
    <w:name w:val="Subtle Emphasis"/>
    <w:basedOn w:val="DefaultParagraphFont"/>
    <w:uiPriority w:val="19"/>
    <w:qFormat/>
    <w:rsid w:val="00A371DC"/>
    <w:rPr>
      <w:i/>
      <w:iCs/>
      <w:color w:val="404040" w:themeColor="text1" w:themeTint="BF"/>
    </w:rPr>
  </w:style>
  <w:style w:type="character" w:styleId="SubtleReference">
    <w:name w:val="Subtle Reference"/>
    <w:basedOn w:val="DefaultParagraphFont"/>
    <w:uiPriority w:val="31"/>
    <w:qFormat/>
    <w:rsid w:val="00A371DC"/>
    <w:rPr>
      <w:smallCaps/>
      <w:color w:val="5A5A5A" w:themeColor="text1" w:themeTint="A5"/>
    </w:rPr>
  </w:style>
  <w:style w:type="paragraph" w:styleId="TOCHeading">
    <w:name w:val="TOC Heading"/>
    <w:basedOn w:val="Heading1"/>
    <w:next w:val="Normal"/>
    <w:uiPriority w:val="39"/>
    <w:semiHidden/>
    <w:unhideWhenUsed/>
    <w:qFormat/>
    <w:rsid w:val="00A371DC"/>
    <w:pPr>
      <w:spacing w:before="240" w:after="0"/>
      <w:outlineLvl w:val="9"/>
    </w:pPr>
    <w:rPr>
      <w:sz w:val="32"/>
      <w:szCs w:val="32"/>
    </w:rPr>
  </w:style>
  <w:style w:type="paragraph" w:styleId="NormalWeb">
    <w:name w:val="Normal (Web)"/>
    <w:basedOn w:val="Normal"/>
    <w:uiPriority w:val="99"/>
    <w:semiHidden/>
    <w:unhideWhenUsed/>
    <w:rsid w:val="00A371DC"/>
    <w:pPr>
      <w:spacing w:before="100" w:beforeAutospacing="1" w:after="100" w:afterAutospacing="1" w:line="240" w:lineRule="auto"/>
    </w:pPr>
    <w:rPr>
      <w:rFonts w:ascii="Times New Roman" w:hAnsi="Times New Roman" w:cs="Times New Roman"/>
    </w:rPr>
  </w:style>
  <w:style w:type="table" w:styleId="GridTable4-Accent1">
    <w:name w:val="Grid Table 4 Accent 1"/>
    <w:basedOn w:val="TableNormal"/>
    <w:uiPriority w:val="49"/>
    <w:rsid w:val="00650201"/>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Header">
    <w:name w:val="header"/>
    <w:basedOn w:val="Normal"/>
    <w:link w:val="HeaderChar"/>
    <w:uiPriority w:val="99"/>
    <w:unhideWhenUsed/>
    <w:rsid w:val="00B35F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5FBB"/>
  </w:style>
  <w:style w:type="paragraph" w:styleId="Footer">
    <w:name w:val="footer"/>
    <w:basedOn w:val="Normal"/>
    <w:link w:val="FooterChar"/>
    <w:uiPriority w:val="99"/>
    <w:unhideWhenUsed/>
    <w:rsid w:val="00B35F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5F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150</TotalTime>
  <Pages>5</Pages>
  <Words>1370</Words>
  <Characters>8443</Characters>
  <Application>Microsoft Office Word</Application>
  <DocSecurity>0</DocSecurity>
  <Lines>156</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WRAP of DC</dc:creator>
  <cp:keywords/>
  <dc:description/>
  <cp:lastModifiedBy>WRAP of DC</cp:lastModifiedBy>
  <cp:revision>16</cp:revision>
  <dcterms:created xsi:type="dcterms:W3CDTF">2026-09-25T20:46:00Z</dcterms:created>
  <dcterms:modified xsi:type="dcterms:W3CDTF">2026-09-28T19:22:00Z</dcterms:modified>
</cp:coreProperties>
</file>